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50" w:rsidRPr="00330750" w:rsidRDefault="00330750" w:rsidP="00330750">
      <w:pPr>
        <w:spacing w:before="120" w:line="273" w:lineRule="auto"/>
        <w:jc w:val="center"/>
        <w:rPr>
          <w:rFonts w:ascii="Times New Roman" w:eastAsia="Times New Roman" w:hAnsi="Times New Roman" w:cs="Times New Roman"/>
          <w:sz w:val="24"/>
          <w:szCs w:val="24"/>
          <w:lang w:val="es-MX" w:eastAsia="es-MX"/>
        </w:rPr>
      </w:pPr>
      <w:r w:rsidRPr="00330750">
        <w:rPr>
          <w:rFonts w:eastAsia="+mn-ea"/>
          <w:color w:val="000000"/>
          <w:kern w:val="24"/>
          <w:u w:val="single"/>
          <w:lang w:eastAsia="es-MX"/>
        </w:rPr>
        <w:t xml:space="preserve">Comparativa </w:t>
      </w:r>
      <w:r w:rsidRPr="00330750">
        <w:rPr>
          <w:rFonts w:eastAsia="+mn-ea" w:cs="+mn-cs"/>
          <w:color w:val="000000"/>
          <w:kern w:val="24"/>
          <w:u w:val="single"/>
          <w:lang w:eastAsia="es-MX"/>
        </w:rPr>
        <w:t>junio</w:t>
      </w:r>
      <w:r w:rsidRPr="00330750">
        <w:rPr>
          <w:rFonts w:eastAsia="+mn-ea"/>
          <w:color w:val="000000"/>
          <w:kern w:val="24"/>
          <w:u w:val="single"/>
          <w:lang w:eastAsia="es-MX"/>
        </w:rPr>
        <w:t xml:space="preserve"> </w:t>
      </w:r>
      <w:r w:rsidRPr="00330750">
        <w:rPr>
          <w:rFonts w:eastAsia="+mn-ea" w:cs="+mn-cs"/>
          <w:color w:val="000000"/>
          <w:kern w:val="24"/>
          <w:u w:val="single"/>
          <w:lang w:eastAsia="es-MX"/>
        </w:rPr>
        <w:t>2023</w:t>
      </w:r>
      <w:r w:rsidRPr="00330750">
        <w:rPr>
          <w:rFonts w:eastAsia="+mn-ea"/>
          <w:color w:val="000000"/>
          <w:kern w:val="24"/>
          <w:u w:val="single"/>
          <w:lang w:eastAsia="es-MX"/>
        </w:rPr>
        <w:t xml:space="preserve"> - </w:t>
      </w:r>
      <w:r w:rsidRPr="00330750">
        <w:rPr>
          <w:rFonts w:eastAsia="+mn-ea" w:cs="+mn-cs"/>
          <w:color w:val="000000"/>
          <w:kern w:val="24"/>
          <w:u w:val="single"/>
          <w:lang w:eastAsia="es-MX"/>
        </w:rPr>
        <w:t>junio</w:t>
      </w:r>
      <w:r w:rsidRPr="00330750">
        <w:rPr>
          <w:rFonts w:eastAsia="+mn-ea"/>
          <w:color w:val="000000"/>
          <w:kern w:val="24"/>
          <w:u w:val="single"/>
          <w:lang w:eastAsia="es-MX"/>
        </w:rPr>
        <w:t xml:space="preserve"> </w:t>
      </w:r>
      <w:r w:rsidRPr="00330750">
        <w:rPr>
          <w:rFonts w:eastAsia="+mn-ea" w:cs="+mn-cs"/>
          <w:color w:val="000000"/>
          <w:kern w:val="24"/>
          <w:u w:val="single"/>
          <w:lang w:eastAsia="es-MX"/>
        </w:rPr>
        <w:t>2022</w:t>
      </w:r>
    </w:p>
    <w:p w:rsidR="00DE11DA" w:rsidRPr="00DE11DA" w:rsidRDefault="00DE11DA" w:rsidP="00DE11DA">
      <w:pPr>
        <w:pStyle w:val="Prrafodelista"/>
        <w:spacing w:before="120" w:line="273" w:lineRule="auto"/>
        <w:ind w:left="426" w:right="-1"/>
        <w:jc w:val="center"/>
        <w:rPr>
          <w:rFonts w:eastAsiaTheme="minorEastAsia"/>
          <w:b/>
          <w:bCs/>
          <w:color w:val="FF0000"/>
          <w:kern w:val="24"/>
          <w:sz w:val="32"/>
          <w:szCs w:val="32"/>
          <w:lang w:eastAsia="en-US"/>
        </w:rPr>
      </w:pPr>
      <w:r w:rsidRPr="00DE11DA">
        <w:rPr>
          <w:rFonts w:eastAsiaTheme="minorEastAsia"/>
          <w:b/>
          <w:bCs/>
          <w:color w:val="000000" w:themeColor="text1"/>
          <w:kern w:val="24"/>
          <w:sz w:val="32"/>
          <w:szCs w:val="32"/>
          <w:lang w:eastAsia="en-US"/>
        </w:rPr>
        <w:t xml:space="preserve">La compraventa de viviendas </w:t>
      </w:r>
      <w:r>
        <w:rPr>
          <w:rFonts w:eastAsiaTheme="minorEastAsia"/>
          <w:b/>
          <w:bCs/>
          <w:kern w:val="24"/>
          <w:sz w:val="32"/>
          <w:szCs w:val="32"/>
          <w:lang w:eastAsia="en-US"/>
        </w:rPr>
        <w:t>continúa</w:t>
      </w:r>
      <w:r w:rsidRPr="00DE11DA">
        <w:rPr>
          <w:rFonts w:eastAsiaTheme="minorEastAsia"/>
          <w:b/>
          <w:bCs/>
          <w:kern w:val="24"/>
          <w:sz w:val="32"/>
          <w:szCs w:val="32"/>
          <w:lang w:eastAsia="en-US"/>
        </w:rPr>
        <w:t xml:space="preserve"> </w:t>
      </w:r>
      <w:r w:rsidR="00EF7ABD">
        <w:rPr>
          <w:rFonts w:eastAsiaTheme="minorEastAsia"/>
          <w:b/>
          <w:bCs/>
          <w:kern w:val="24"/>
          <w:sz w:val="32"/>
          <w:szCs w:val="32"/>
          <w:lang w:eastAsia="en-US"/>
        </w:rPr>
        <w:t>decreciendo</w:t>
      </w:r>
      <w:r w:rsidRPr="00DE11DA">
        <w:rPr>
          <w:rFonts w:eastAsiaTheme="minorEastAsia"/>
          <w:b/>
          <w:bCs/>
          <w:kern w:val="24"/>
          <w:sz w:val="32"/>
          <w:szCs w:val="32"/>
          <w:lang w:eastAsia="en-US"/>
        </w:rPr>
        <w:t xml:space="preserve"> </w:t>
      </w:r>
      <w:r w:rsidRPr="00DE11DA">
        <w:rPr>
          <w:rFonts w:eastAsiaTheme="minorEastAsia"/>
          <w:b/>
          <w:bCs/>
          <w:color w:val="000000" w:themeColor="text1"/>
          <w:kern w:val="24"/>
          <w:sz w:val="32"/>
          <w:szCs w:val="32"/>
          <w:lang w:eastAsia="en-US"/>
        </w:rPr>
        <w:t>en Castilla y León</w:t>
      </w:r>
      <w:r w:rsidRPr="00DE11DA">
        <w:rPr>
          <w:rFonts w:eastAsiaTheme="minorEastAsia"/>
          <w:b/>
          <w:bCs/>
          <w:kern w:val="24"/>
          <w:sz w:val="32"/>
          <w:szCs w:val="32"/>
          <w:lang w:eastAsia="en-US"/>
        </w:rPr>
        <w:t xml:space="preserve"> y </w:t>
      </w:r>
      <w:r>
        <w:rPr>
          <w:rFonts w:eastAsiaTheme="minorEastAsia"/>
          <w:b/>
          <w:bCs/>
          <w:kern w:val="24"/>
          <w:sz w:val="32"/>
          <w:szCs w:val="32"/>
          <w:lang w:eastAsia="en-US"/>
        </w:rPr>
        <w:t>los</w:t>
      </w:r>
      <w:r w:rsidRPr="00DE11DA">
        <w:rPr>
          <w:rFonts w:eastAsiaTheme="minorEastAsia"/>
          <w:b/>
          <w:bCs/>
          <w:kern w:val="24"/>
          <w:sz w:val="32"/>
          <w:szCs w:val="32"/>
          <w:lang w:eastAsia="en-US"/>
        </w:rPr>
        <w:t xml:space="preserve"> pre</w:t>
      </w:r>
      <w:r>
        <w:rPr>
          <w:rFonts w:eastAsiaTheme="minorEastAsia"/>
          <w:b/>
          <w:bCs/>
          <w:kern w:val="24"/>
          <w:sz w:val="32"/>
          <w:szCs w:val="32"/>
          <w:lang w:eastAsia="en-US"/>
        </w:rPr>
        <w:t>cios</w:t>
      </w:r>
      <w:r>
        <w:rPr>
          <w:rFonts w:eastAsiaTheme="minorEastAsia"/>
          <w:i/>
          <w:iCs/>
          <w:color w:val="000000" w:themeColor="text1"/>
          <w:kern w:val="24"/>
          <w:lang w:eastAsia="en-US"/>
        </w:rPr>
        <w:t xml:space="preserve"> </w:t>
      </w:r>
      <w:r w:rsidRPr="00DE11DA">
        <w:rPr>
          <w:rFonts w:eastAsiaTheme="minorEastAsia"/>
          <w:b/>
          <w:bCs/>
          <w:kern w:val="24"/>
          <w:sz w:val="32"/>
          <w:szCs w:val="32"/>
          <w:lang w:eastAsia="en-US"/>
        </w:rPr>
        <w:t>cae</w:t>
      </w:r>
      <w:r>
        <w:rPr>
          <w:rFonts w:eastAsiaTheme="minorEastAsia"/>
          <w:b/>
          <w:bCs/>
          <w:kern w:val="24"/>
          <w:sz w:val="32"/>
          <w:szCs w:val="32"/>
          <w:lang w:eastAsia="en-US"/>
        </w:rPr>
        <w:t>n</w:t>
      </w:r>
      <w:r w:rsidRPr="00DE11DA">
        <w:rPr>
          <w:rFonts w:eastAsiaTheme="minorEastAsia"/>
          <w:b/>
          <w:bCs/>
          <w:kern w:val="24"/>
          <w:sz w:val="32"/>
          <w:szCs w:val="32"/>
          <w:lang w:eastAsia="en-US"/>
        </w:rPr>
        <w:t xml:space="preserve"> un 16,</w:t>
      </w:r>
      <w:r>
        <w:rPr>
          <w:rFonts w:eastAsiaTheme="minorEastAsia"/>
          <w:b/>
          <w:bCs/>
          <w:kern w:val="24"/>
          <w:sz w:val="32"/>
          <w:szCs w:val="32"/>
          <w:lang w:eastAsia="en-US"/>
        </w:rPr>
        <w:t>8</w:t>
      </w:r>
      <w:r w:rsidRPr="00DE11DA">
        <w:rPr>
          <w:rFonts w:eastAsiaTheme="minorEastAsia"/>
          <w:b/>
          <w:bCs/>
          <w:kern w:val="24"/>
          <w:sz w:val="32"/>
          <w:szCs w:val="32"/>
          <w:lang w:eastAsia="en-US"/>
        </w:rPr>
        <w:t>%</w:t>
      </w:r>
    </w:p>
    <w:p w:rsidR="00DE11DA" w:rsidRPr="00DE11DA" w:rsidRDefault="00DE11DA" w:rsidP="00994E9B">
      <w:pPr>
        <w:pStyle w:val="Prrafodelista"/>
        <w:numPr>
          <w:ilvl w:val="0"/>
          <w:numId w:val="14"/>
        </w:numPr>
        <w:spacing w:beforeLines="60" w:after="60"/>
        <w:contextualSpacing w:val="0"/>
        <w:jc w:val="both"/>
        <w:rPr>
          <w:rFonts w:eastAsiaTheme="minorEastAsia"/>
          <w:i/>
          <w:iCs/>
          <w:color w:val="000000" w:themeColor="text1"/>
          <w:kern w:val="24"/>
          <w:lang w:eastAsia="en-US"/>
        </w:rPr>
      </w:pPr>
      <w:r>
        <w:rPr>
          <w:rFonts w:eastAsiaTheme="minorEastAsia"/>
          <w:i/>
          <w:iCs/>
          <w:color w:val="000000" w:themeColor="text1"/>
          <w:kern w:val="24"/>
          <w:lang w:eastAsia="en-US"/>
        </w:rPr>
        <w:t xml:space="preserve">Fue la segunda </w:t>
      </w:r>
      <w:r w:rsidR="00EF7ABD">
        <w:rPr>
          <w:rFonts w:eastAsiaTheme="minorEastAsia"/>
          <w:i/>
          <w:iCs/>
          <w:color w:val="000000" w:themeColor="text1"/>
          <w:kern w:val="24"/>
          <w:lang w:eastAsia="en-US"/>
        </w:rPr>
        <w:t>autonomía</w:t>
      </w:r>
      <w:r>
        <w:rPr>
          <w:rFonts w:eastAsiaTheme="minorEastAsia"/>
          <w:i/>
          <w:iCs/>
          <w:color w:val="000000" w:themeColor="text1"/>
          <w:kern w:val="24"/>
          <w:lang w:eastAsia="en-US"/>
        </w:rPr>
        <w:t xml:space="preserve"> </w:t>
      </w:r>
      <w:r w:rsidR="00EF7ABD">
        <w:rPr>
          <w:rFonts w:eastAsiaTheme="minorEastAsia"/>
          <w:i/>
          <w:iCs/>
          <w:color w:val="000000" w:themeColor="text1"/>
          <w:kern w:val="24"/>
          <w:lang w:eastAsia="en-US"/>
        </w:rPr>
        <w:t xml:space="preserve">en la que más </w:t>
      </w:r>
      <w:r>
        <w:rPr>
          <w:rFonts w:eastAsiaTheme="minorEastAsia"/>
          <w:i/>
          <w:iCs/>
          <w:color w:val="000000" w:themeColor="text1"/>
          <w:kern w:val="24"/>
          <w:lang w:eastAsia="en-US"/>
        </w:rPr>
        <w:t>descen</w:t>
      </w:r>
      <w:r w:rsidR="00EF7ABD">
        <w:rPr>
          <w:rFonts w:eastAsiaTheme="minorEastAsia"/>
          <w:i/>
          <w:iCs/>
          <w:color w:val="000000" w:themeColor="text1"/>
          <w:kern w:val="24"/>
          <w:lang w:eastAsia="en-US"/>
        </w:rPr>
        <w:t xml:space="preserve">dió </w:t>
      </w:r>
      <w:r>
        <w:rPr>
          <w:rFonts w:eastAsiaTheme="minorEastAsia"/>
          <w:i/>
          <w:iCs/>
          <w:color w:val="000000" w:themeColor="text1"/>
          <w:kern w:val="24"/>
          <w:lang w:eastAsia="en-US"/>
        </w:rPr>
        <w:t xml:space="preserve">el coste del </w:t>
      </w:r>
      <w:r w:rsidRPr="00E536EE">
        <w:rPr>
          <w:rFonts w:eastAsiaTheme="minorEastAsia"/>
          <w:i/>
          <w:iCs/>
          <w:color w:val="000000" w:themeColor="text1"/>
          <w:kern w:val="24"/>
          <w:lang w:eastAsia="en-US"/>
        </w:rPr>
        <w:t>m²</w:t>
      </w:r>
      <w:r w:rsidR="001955EC">
        <w:rPr>
          <w:rFonts w:eastAsiaTheme="minorEastAsia"/>
          <w:i/>
          <w:iCs/>
          <w:color w:val="000000" w:themeColor="text1"/>
          <w:kern w:val="24"/>
          <w:lang w:eastAsia="en-US"/>
        </w:rPr>
        <w:t xml:space="preserve">, </w:t>
      </w:r>
      <w:r w:rsidR="00EF7ABD">
        <w:rPr>
          <w:rFonts w:eastAsiaTheme="minorEastAsia"/>
          <w:i/>
          <w:iCs/>
          <w:color w:val="000000" w:themeColor="text1"/>
          <w:kern w:val="24"/>
          <w:lang w:eastAsia="en-US"/>
        </w:rPr>
        <w:t>y la mayor caída registrada en la comunidad desde abril de 2021</w:t>
      </w:r>
    </w:p>
    <w:p w:rsidR="008C7759" w:rsidRPr="008C7759" w:rsidRDefault="00330750" w:rsidP="00994E9B">
      <w:pPr>
        <w:pStyle w:val="Prrafodelista"/>
        <w:numPr>
          <w:ilvl w:val="0"/>
          <w:numId w:val="14"/>
        </w:numPr>
        <w:spacing w:beforeLines="60" w:after="60" w:line="273" w:lineRule="auto"/>
        <w:contextualSpacing w:val="0"/>
        <w:jc w:val="both"/>
        <w:rPr>
          <w:rFonts w:eastAsia="+mn-ea"/>
          <w:color w:val="000000"/>
          <w:kern w:val="24"/>
          <w:u w:val="single"/>
          <w:lang w:eastAsia="es-MX"/>
        </w:rPr>
      </w:pPr>
      <w:r w:rsidRPr="008C7759">
        <w:rPr>
          <w:rFonts w:eastAsiaTheme="minorEastAsia"/>
          <w:i/>
          <w:iCs/>
          <w:color w:val="000000" w:themeColor="text1"/>
          <w:kern w:val="24"/>
          <w:lang w:eastAsia="en-US"/>
        </w:rPr>
        <w:t xml:space="preserve">La constitución de nuevas sociedades </w:t>
      </w:r>
      <w:r w:rsidR="00B20B89">
        <w:rPr>
          <w:rFonts w:eastAsiaTheme="minorEastAsia"/>
          <w:i/>
          <w:iCs/>
          <w:color w:val="000000" w:themeColor="text1"/>
          <w:kern w:val="24"/>
          <w:lang w:eastAsia="en-US"/>
        </w:rPr>
        <w:t>creció un 16,2% en España, pero de</w:t>
      </w:r>
      <w:r w:rsidRPr="008C7759">
        <w:rPr>
          <w:rFonts w:eastAsiaTheme="minorEastAsia"/>
          <w:i/>
          <w:iCs/>
          <w:color w:val="000000" w:themeColor="text1"/>
          <w:kern w:val="24"/>
          <w:lang w:eastAsia="en-US"/>
        </w:rPr>
        <w:t>crec</w:t>
      </w:r>
      <w:r w:rsidR="00B20B89">
        <w:rPr>
          <w:rFonts w:eastAsiaTheme="minorEastAsia"/>
          <w:i/>
          <w:iCs/>
          <w:color w:val="000000" w:themeColor="text1"/>
          <w:kern w:val="24"/>
          <w:lang w:eastAsia="en-US"/>
        </w:rPr>
        <w:t xml:space="preserve">ió un 8,3% en </w:t>
      </w:r>
      <w:proofErr w:type="spellStart"/>
      <w:r w:rsidR="00B20B89">
        <w:rPr>
          <w:rFonts w:eastAsiaTheme="minorEastAsia"/>
          <w:i/>
          <w:iCs/>
          <w:color w:val="000000" w:themeColor="text1"/>
          <w:kern w:val="24"/>
          <w:lang w:eastAsia="en-US"/>
        </w:rPr>
        <w:t>CyL</w:t>
      </w:r>
      <w:proofErr w:type="spellEnd"/>
    </w:p>
    <w:p w:rsidR="008C7759" w:rsidRDefault="008C7759" w:rsidP="00CB792C">
      <w:pPr>
        <w:spacing w:before="30" w:after="60" w:line="273" w:lineRule="auto"/>
        <w:jc w:val="both"/>
        <w:rPr>
          <w:rFonts w:eastAsia="+mn-ea"/>
          <w:color w:val="000000"/>
          <w:kern w:val="24"/>
          <w:u w:val="single"/>
          <w:lang w:eastAsia="es-MX"/>
        </w:rPr>
      </w:pPr>
    </w:p>
    <w:p w:rsidR="00FC2190" w:rsidRDefault="00EA644E" w:rsidP="00CB792C">
      <w:pPr>
        <w:spacing w:before="30" w:after="60" w:line="273" w:lineRule="auto"/>
        <w:jc w:val="both"/>
        <w:rPr>
          <w:rFonts w:eastAsia="+mn-ea"/>
          <w:color w:val="000000"/>
          <w:kern w:val="24"/>
          <w:lang w:eastAsia="es-MX"/>
        </w:rPr>
      </w:pPr>
      <w:r>
        <w:rPr>
          <w:rFonts w:eastAsia="+mn-ea"/>
          <w:color w:val="000000"/>
          <w:kern w:val="24"/>
          <w:u w:val="single"/>
          <w:lang w:eastAsia="es-MX"/>
        </w:rPr>
        <w:t>Valladolid</w:t>
      </w:r>
      <w:r w:rsidR="00CB792C" w:rsidRPr="00CB792C">
        <w:rPr>
          <w:rFonts w:eastAsia="+mn-ea"/>
          <w:color w:val="000000"/>
          <w:kern w:val="24"/>
          <w:u w:val="single"/>
          <w:lang w:eastAsia="es-MX"/>
        </w:rPr>
        <w:t xml:space="preserve">, </w:t>
      </w:r>
      <w:r w:rsidR="005168C5">
        <w:rPr>
          <w:rFonts w:eastAsia="+mn-ea"/>
          <w:color w:val="000000"/>
          <w:kern w:val="24"/>
          <w:u w:val="single"/>
          <w:lang w:eastAsia="es-MX"/>
        </w:rPr>
        <w:t>3</w:t>
      </w:r>
      <w:r w:rsidR="00CB792C" w:rsidRPr="00CB792C">
        <w:rPr>
          <w:rFonts w:eastAsia="+mn-ea"/>
          <w:color w:val="000000"/>
          <w:kern w:val="24"/>
          <w:u w:val="single"/>
          <w:lang w:eastAsia="es-MX"/>
        </w:rPr>
        <w:t xml:space="preserve"> de </w:t>
      </w:r>
      <w:r w:rsidR="00CB792C" w:rsidRPr="00CB792C">
        <w:rPr>
          <w:rFonts w:eastAsia="+mn-ea" w:cs="+mn-cs"/>
          <w:color w:val="000000"/>
          <w:kern w:val="24"/>
          <w:u w:val="single"/>
          <w:lang w:eastAsia="es-MX"/>
        </w:rPr>
        <w:t>agosto</w:t>
      </w:r>
      <w:r w:rsidR="00CB792C" w:rsidRPr="00CB792C">
        <w:rPr>
          <w:rFonts w:eastAsia="+mn-ea"/>
          <w:color w:val="000000"/>
          <w:kern w:val="24"/>
          <w:u w:val="single"/>
          <w:lang w:eastAsia="es-MX"/>
        </w:rPr>
        <w:t xml:space="preserve"> de </w:t>
      </w:r>
      <w:r w:rsidR="00CB792C" w:rsidRPr="00CB792C">
        <w:rPr>
          <w:rFonts w:eastAsia="+mn-ea" w:cs="+mn-cs"/>
          <w:color w:val="000000"/>
          <w:kern w:val="24"/>
          <w:u w:val="single"/>
          <w:lang w:eastAsia="es-MX"/>
        </w:rPr>
        <w:t>2023</w:t>
      </w:r>
      <w:r w:rsidR="00CB792C" w:rsidRPr="00CB792C">
        <w:rPr>
          <w:rFonts w:eastAsia="+mn-ea"/>
          <w:color w:val="000000"/>
          <w:kern w:val="24"/>
          <w:lang w:eastAsia="es-MX"/>
        </w:rPr>
        <w:t xml:space="preserve">. En </w:t>
      </w:r>
      <w:r w:rsidR="00CB792C" w:rsidRPr="00CB792C">
        <w:rPr>
          <w:rFonts w:eastAsia="+mn-ea" w:cs="+mn-cs"/>
          <w:color w:val="000000"/>
          <w:kern w:val="24"/>
          <w:lang w:eastAsia="es-MX"/>
        </w:rPr>
        <w:t>junio</w:t>
      </w:r>
      <w:r w:rsidR="00CB792C" w:rsidRPr="00CB792C">
        <w:rPr>
          <w:rFonts w:eastAsia="+mn-ea"/>
          <w:color w:val="000000"/>
          <w:kern w:val="24"/>
          <w:lang w:eastAsia="es-MX"/>
        </w:rPr>
        <w:t xml:space="preserve"> de </w:t>
      </w:r>
      <w:r w:rsidR="00CB792C" w:rsidRPr="00CB792C">
        <w:rPr>
          <w:rFonts w:eastAsia="+mn-ea" w:cs="+mn-cs"/>
          <w:color w:val="000000"/>
          <w:kern w:val="24"/>
          <w:lang w:eastAsia="es-MX"/>
        </w:rPr>
        <w:t>2023</w:t>
      </w:r>
      <w:r w:rsidR="00CB792C" w:rsidRPr="00CB792C">
        <w:rPr>
          <w:rFonts w:eastAsia="+mn-ea"/>
          <w:color w:val="000000"/>
          <w:kern w:val="24"/>
          <w:lang w:eastAsia="es-MX"/>
        </w:rPr>
        <w:t xml:space="preserve">, con respecto a </w:t>
      </w:r>
      <w:r w:rsidR="00CB792C" w:rsidRPr="00CB792C">
        <w:rPr>
          <w:rFonts w:eastAsia="+mn-ea" w:cs="+mn-cs"/>
          <w:color w:val="000000"/>
          <w:kern w:val="24"/>
          <w:lang w:eastAsia="es-MX"/>
        </w:rPr>
        <w:t>junio</w:t>
      </w:r>
      <w:r w:rsidR="00CB792C" w:rsidRPr="00CB792C">
        <w:rPr>
          <w:rFonts w:eastAsia="+mn-ea"/>
          <w:color w:val="000000"/>
          <w:kern w:val="24"/>
          <w:lang w:eastAsia="es-MX"/>
        </w:rPr>
        <w:t xml:space="preserve"> de </w:t>
      </w:r>
      <w:r w:rsidR="00CB792C" w:rsidRPr="00CB792C">
        <w:rPr>
          <w:rFonts w:eastAsia="+mn-ea" w:cs="+mn-cs"/>
          <w:color w:val="000000"/>
          <w:kern w:val="24"/>
          <w:lang w:eastAsia="es-MX"/>
        </w:rPr>
        <w:t>2022</w:t>
      </w:r>
      <w:r w:rsidR="00CB792C" w:rsidRPr="00CB792C">
        <w:rPr>
          <w:rFonts w:eastAsia="+mn-ea"/>
          <w:color w:val="000000"/>
          <w:kern w:val="24"/>
          <w:lang w:eastAsia="es-MX"/>
        </w:rPr>
        <w:t xml:space="preserve">, la compraventa de viviendas </w:t>
      </w:r>
      <w:r w:rsidR="00C37F09">
        <w:rPr>
          <w:rFonts w:eastAsia="+mn-ea"/>
          <w:color w:val="000000"/>
          <w:kern w:val="24"/>
          <w:lang w:eastAsia="es-MX"/>
        </w:rPr>
        <w:t xml:space="preserve">en Castilla y León </w:t>
      </w:r>
      <w:r w:rsidR="00B20B89">
        <w:rPr>
          <w:rFonts w:eastAsia="+mn-ea"/>
          <w:color w:val="000000"/>
          <w:kern w:val="24"/>
          <w:lang w:eastAsia="es-MX"/>
        </w:rPr>
        <w:t>continuó decreciendo por noveno mes consecutivo</w:t>
      </w:r>
      <w:r w:rsidR="00E96B67">
        <w:rPr>
          <w:rFonts w:eastAsia="+mn-ea"/>
          <w:color w:val="000000"/>
          <w:kern w:val="24"/>
          <w:lang w:eastAsia="es-MX"/>
        </w:rPr>
        <w:t xml:space="preserve">, </w:t>
      </w:r>
      <w:r w:rsidR="00C37F09">
        <w:rPr>
          <w:rFonts w:eastAsia="+mn-ea"/>
          <w:color w:val="000000"/>
          <w:kern w:val="24"/>
          <w:lang w:eastAsia="es-MX"/>
        </w:rPr>
        <w:t>pero la principal novedad es</w:t>
      </w:r>
      <w:r w:rsidR="00E96B67">
        <w:rPr>
          <w:rFonts w:eastAsia="+mn-ea"/>
          <w:color w:val="000000"/>
          <w:kern w:val="24"/>
          <w:lang w:eastAsia="es-MX"/>
        </w:rPr>
        <w:t xml:space="preserve"> que ese descenso se acompañó</w:t>
      </w:r>
      <w:r w:rsidR="00C37F09">
        <w:rPr>
          <w:rFonts w:eastAsia="+mn-ea"/>
          <w:color w:val="000000"/>
          <w:kern w:val="24"/>
          <w:lang w:eastAsia="es-MX"/>
        </w:rPr>
        <w:t xml:space="preserve"> </w:t>
      </w:r>
      <w:r w:rsidR="00E96B67">
        <w:rPr>
          <w:rFonts w:eastAsia="+mn-ea"/>
          <w:color w:val="000000"/>
          <w:kern w:val="24"/>
          <w:lang w:eastAsia="es-MX"/>
        </w:rPr>
        <w:t>de</w:t>
      </w:r>
      <w:r w:rsidR="00C37F09">
        <w:rPr>
          <w:rFonts w:eastAsia="+mn-ea"/>
          <w:color w:val="000000"/>
          <w:kern w:val="24"/>
          <w:lang w:eastAsia="es-MX"/>
        </w:rPr>
        <w:t xml:space="preserve"> una fuerte caída del 16,8% en el precio del </w:t>
      </w:r>
      <w:r w:rsidR="00C37F09" w:rsidRPr="00CB792C">
        <w:rPr>
          <w:rFonts w:eastAsia="+mn-ea"/>
          <w:color w:val="000000"/>
          <w:kern w:val="24"/>
          <w:lang w:eastAsia="es-MX"/>
        </w:rPr>
        <w:t>m²</w:t>
      </w:r>
      <w:r w:rsidR="00C37F09">
        <w:rPr>
          <w:rFonts w:eastAsia="+mn-ea"/>
          <w:color w:val="000000"/>
          <w:kern w:val="24"/>
          <w:lang w:eastAsia="es-MX"/>
        </w:rPr>
        <w:t xml:space="preserve">, </w:t>
      </w:r>
      <w:r w:rsidR="00EF7ABD">
        <w:rPr>
          <w:rFonts w:eastAsia="+mn-ea"/>
          <w:color w:val="000000"/>
          <w:kern w:val="24"/>
          <w:lang w:eastAsia="es-MX"/>
        </w:rPr>
        <w:t xml:space="preserve">la más </w:t>
      </w:r>
      <w:r w:rsidR="00E96B67">
        <w:rPr>
          <w:rFonts w:eastAsia="+mn-ea"/>
          <w:color w:val="000000"/>
          <w:kern w:val="24"/>
          <w:lang w:eastAsia="es-MX"/>
        </w:rPr>
        <w:t>acusada</w:t>
      </w:r>
      <w:r w:rsidR="00C37F09">
        <w:rPr>
          <w:rFonts w:eastAsia="+mn-ea"/>
          <w:color w:val="000000"/>
          <w:kern w:val="24"/>
          <w:lang w:eastAsia="es-MX"/>
        </w:rPr>
        <w:t xml:space="preserve"> </w:t>
      </w:r>
      <w:r w:rsidR="00EF7ABD">
        <w:rPr>
          <w:rFonts w:eastAsia="+mn-ea"/>
          <w:color w:val="000000"/>
          <w:kern w:val="24"/>
          <w:lang w:eastAsia="es-MX"/>
        </w:rPr>
        <w:t>registra</w:t>
      </w:r>
      <w:r w:rsidR="00E96B67">
        <w:rPr>
          <w:rFonts w:eastAsia="+mn-ea"/>
          <w:color w:val="000000"/>
          <w:kern w:val="24"/>
          <w:lang w:eastAsia="es-MX"/>
        </w:rPr>
        <w:t>da</w:t>
      </w:r>
      <w:r w:rsidR="00EF7ABD">
        <w:rPr>
          <w:rFonts w:eastAsia="+mn-ea"/>
          <w:color w:val="000000"/>
          <w:kern w:val="24"/>
          <w:lang w:eastAsia="es-MX"/>
        </w:rPr>
        <w:t xml:space="preserve"> en </w:t>
      </w:r>
      <w:proofErr w:type="spellStart"/>
      <w:r w:rsidR="00EF7ABD">
        <w:rPr>
          <w:rFonts w:eastAsia="+mn-ea"/>
          <w:color w:val="000000"/>
          <w:kern w:val="24"/>
          <w:lang w:eastAsia="es-MX"/>
        </w:rPr>
        <w:t>CyL</w:t>
      </w:r>
      <w:proofErr w:type="spellEnd"/>
      <w:r w:rsidR="00EF7ABD">
        <w:rPr>
          <w:rFonts w:eastAsia="+mn-ea"/>
          <w:color w:val="000000"/>
          <w:kern w:val="24"/>
          <w:lang w:eastAsia="es-MX"/>
        </w:rPr>
        <w:t xml:space="preserve"> </w:t>
      </w:r>
      <w:r w:rsidR="001955EC">
        <w:rPr>
          <w:rFonts w:eastAsia="+mn-ea"/>
          <w:color w:val="000000"/>
          <w:kern w:val="24"/>
          <w:lang w:eastAsia="es-MX"/>
        </w:rPr>
        <w:t>desde abril de 2021</w:t>
      </w:r>
      <w:r w:rsidR="00FC2190">
        <w:rPr>
          <w:rFonts w:eastAsia="+mn-ea"/>
          <w:color w:val="000000"/>
          <w:kern w:val="24"/>
          <w:lang w:eastAsia="es-MX"/>
        </w:rPr>
        <w:t>.</w:t>
      </w:r>
    </w:p>
    <w:p w:rsidR="00C37F09" w:rsidRPr="00994E9B" w:rsidRDefault="00994E9B" w:rsidP="00CB792C">
      <w:pPr>
        <w:spacing w:before="30" w:after="60" w:line="273" w:lineRule="auto"/>
        <w:jc w:val="both"/>
        <w:rPr>
          <w:rFonts w:eastAsia="+mn-ea"/>
          <w:color w:val="000000"/>
          <w:kern w:val="24"/>
          <w:lang w:eastAsia="es-MX"/>
        </w:rPr>
      </w:pPr>
      <w:r w:rsidRPr="00994E9B">
        <w:rPr>
          <w:rFonts w:eastAsiaTheme="minorEastAsia"/>
          <w:color w:val="000000" w:themeColor="text1"/>
          <w:kern w:val="24"/>
          <w:lang w:eastAsia="en-US"/>
        </w:rPr>
        <w:t>Según los datos del Centro de Información Estadística del Notariado (CIEN), s</w:t>
      </w:r>
      <w:r w:rsidR="00EF7ABD" w:rsidRPr="00994E9B">
        <w:rPr>
          <w:rFonts w:eastAsia="+mn-ea"/>
          <w:color w:val="000000"/>
          <w:kern w:val="24"/>
          <w:lang w:eastAsia="es-MX"/>
        </w:rPr>
        <w:t>ólo La Rioja, con un -19,3%, experimentó en junio pasado un mayor descenso interanual del coste de la vivienda</w:t>
      </w:r>
      <w:r w:rsidR="00FC2190" w:rsidRPr="00994E9B">
        <w:rPr>
          <w:rFonts w:eastAsia="+mn-ea"/>
          <w:color w:val="000000"/>
          <w:kern w:val="24"/>
          <w:lang w:eastAsia="es-MX"/>
        </w:rPr>
        <w:t>, que en el conjunto de España se situó en un -2,6%</w:t>
      </w:r>
      <w:r w:rsidR="00EF7ABD" w:rsidRPr="00994E9B">
        <w:rPr>
          <w:rFonts w:eastAsia="+mn-ea"/>
          <w:color w:val="000000"/>
          <w:kern w:val="24"/>
          <w:lang w:eastAsia="es-MX"/>
        </w:rPr>
        <w:t xml:space="preserve">.  </w:t>
      </w:r>
      <w:r w:rsidR="008B5D4E" w:rsidRPr="00994E9B">
        <w:rPr>
          <w:rFonts w:eastAsia="+mn-ea"/>
          <w:color w:val="000000"/>
          <w:kern w:val="24"/>
          <w:lang w:eastAsia="es-MX"/>
        </w:rPr>
        <w:t xml:space="preserve">En </w:t>
      </w:r>
      <w:r w:rsidR="008B5D4E" w:rsidRPr="00994E9B">
        <w:rPr>
          <w:rFonts w:eastAsia="+mn-ea" w:cs="+mn-cs"/>
          <w:color w:val="000000"/>
          <w:kern w:val="24"/>
          <w:lang w:eastAsia="es-MX"/>
        </w:rPr>
        <w:t>ocho</w:t>
      </w:r>
      <w:r w:rsidR="008B5D4E" w:rsidRPr="00994E9B">
        <w:rPr>
          <w:rFonts w:eastAsia="+mn-ea"/>
          <w:color w:val="000000"/>
          <w:kern w:val="24"/>
          <w:lang w:eastAsia="es-MX"/>
        </w:rPr>
        <w:t xml:space="preserve"> autonomías se registró un encarecimiento en el precio de la vivienda y en </w:t>
      </w:r>
      <w:r w:rsidR="008B5D4E" w:rsidRPr="00994E9B">
        <w:rPr>
          <w:rFonts w:eastAsia="+mn-ea" w:cs="+mn-cs"/>
          <w:color w:val="000000"/>
          <w:kern w:val="24"/>
          <w:lang w:eastAsia="es-MX"/>
        </w:rPr>
        <w:t>nueve</w:t>
      </w:r>
      <w:r w:rsidR="008B5D4E" w:rsidRPr="00994E9B">
        <w:rPr>
          <w:rFonts w:eastAsia="+mn-ea"/>
          <w:color w:val="000000"/>
          <w:kern w:val="24"/>
          <w:lang w:eastAsia="es-MX"/>
        </w:rPr>
        <w:t xml:space="preserve"> disminuyó.</w:t>
      </w:r>
    </w:p>
    <w:p w:rsidR="007449C6" w:rsidRPr="00851B40" w:rsidRDefault="00FC2190" w:rsidP="007449C6">
      <w:pPr>
        <w:spacing w:before="120" w:line="273" w:lineRule="auto"/>
        <w:jc w:val="both"/>
        <w:rPr>
          <w:rFonts w:ascii="Times New Roman" w:eastAsia="Times New Roman" w:hAnsi="Times New Roman" w:cs="Times New Roman"/>
          <w:sz w:val="24"/>
          <w:szCs w:val="24"/>
          <w:lang w:eastAsia="en-US"/>
        </w:rPr>
      </w:pPr>
      <w:r>
        <w:rPr>
          <w:rFonts w:eastAsiaTheme="minorEastAsia"/>
          <w:color w:val="000000" w:themeColor="text1"/>
          <w:kern w:val="24"/>
          <w:lang w:eastAsia="en-US"/>
        </w:rPr>
        <w:t xml:space="preserve">El coste medio del </w:t>
      </w:r>
      <w:r w:rsidRPr="00851B40">
        <w:rPr>
          <w:rFonts w:eastAsiaTheme="minorEastAsia"/>
          <w:color w:val="000000" w:themeColor="text1"/>
          <w:kern w:val="24"/>
          <w:lang w:eastAsia="en-US"/>
        </w:rPr>
        <w:t xml:space="preserve">m² </w:t>
      </w:r>
      <w:r>
        <w:rPr>
          <w:rFonts w:eastAsiaTheme="minorEastAsia"/>
          <w:color w:val="000000" w:themeColor="text1"/>
          <w:kern w:val="24"/>
          <w:lang w:eastAsia="en-US"/>
        </w:rPr>
        <w:t>en junio e</w:t>
      </w:r>
      <w:r w:rsidR="007449C6" w:rsidRPr="00851B40">
        <w:rPr>
          <w:rFonts w:eastAsiaTheme="minorEastAsia"/>
          <w:color w:val="000000" w:themeColor="text1"/>
          <w:kern w:val="24"/>
          <w:lang w:eastAsia="en-US"/>
        </w:rPr>
        <w:t xml:space="preserve">n Castilla y León, </w:t>
      </w:r>
      <w:r>
        <w:rPr>
          <w:rFonts w:eastAsiaTheme="minorEastAsia"/>
          <w:color w:val="000000" w:themeColor="text1"/>
          <w:kern w:val="24"/>
          <w:lang w:eastAsia="en-US"/>
        </w:rPr>
        <w:t>fue de</w:t>
      </w:r>
      <w:r w:rsidR="007449C6">
        <w:rPr>
          <w:rFonts w:eastAsiaTheme="minorEastAsia"/>
          <w:color w:val="000000" w:themeColor="text1"/>
          <w:kern w:val="24"/>
          <w:lang w:eastAsia="en-US"/>
        </w:rPr>
        <w:t xml:space="preserve"> </w:t>
      </w:r>
      <w:r>
        <w:rPr>
          <w:rFonts w:eastAsiaTheme="minorEastAsia"/>
          <w:color w:val="000000" w:themeColor="text1"/>
          <w:kern w:val="24"/>
          <w:lang w:eastAsia="en-US"/>
        </w:rPr>
        <w:t>702</w:t>
      </w:r>
      <w:r w:rsidR="007449C6" w:rsidRPr="00851B40">
        <w:rPr>
          <w:rFonts w:eastAsiaTheme="minorEastAsia"/>
          <w:color w:val="000000" w:themeColor="text1"/>
          <w:kern w:val="24"/>
          <w:lang w:eastAsia="en-US"/>
        </w:rPr>
        <w:t xml:space="preserve"> €</w:t>
      </w:r>
      <w:r>
        <w:rPr>
          <w:rFonts w:eastAsiaTheme="minorEastAsia"/>
          <w:color w:val="000000" w:themeColor="text1"/>
          <w:kern w:val="24"/>
          <w:lang w:eastAsia="en-US"/>
        </w:rPr>
        <w:t>, aunque según el tipo de vivienda las</w:t>
      </w:r>
      <w:r w:rsidR="007449C6" w:rsidRPr="00851B40">
        <w:rPr>
          <w:rFonts w:eastAsiaTheme="minorEastAsia"/>
          <w:color w:val="000000" w:themeColor="text1"/>
          <w:kern w:val="24"/>
          <w:lang w:eastAsia="en-US"/>
        </w:rPr>
        <w:t xml:space="preserve"> diferencias </w:t>
      </w:r>
      <w:r>
        <w:rPr>
          <w:rFonts w:eastAsiaTheme="minorEastAsia"/>
          <w:color w:val="000000" w:themeColor="text1"/>
          <w:kern w:val="24"/>
          <w:lang w:eastAsia="en-US"/>
        </w:rPr>
        <w:t>fueron</w:t>
      </w:r>
      <w:r w:rsidR="007449C6" w:rsidRPr="00851B40">
        <w:rPr>
          <w:rFonts w:eastAsiaTheme="minorEastAsia"/>
          <w:color w:val="000000" w:themeColor="text1"/>
          <w:kern w:val="24"/>
          <w:lang w:eastAsia="en-US"/>
        </w:rPr>
        <w:t xml:space="preserve"> notables</w:t>
      </w:r>
      <w:r>
        <w:rPr>
          <w:rFonts w:eastAsiaTheme="minorEastAsia"/>
          <w:color w:val="000000" w:themeColor="text1"/>
          <w:kern w:val="24"/>
          <w:lang w:eastAsia="en-US"/>
        </w:rPr>
        <w:t>: e</w:t>
      </w:r>
      <w:r w:rsidR="007449C6" w:rsidRPr="00851B40">
        <w:rPr>
          <w:rFonts w:eastAsiaTheme="minorEastAsia"/>
          <w:color w:val="000000" w:themeColor="text1"/>
          <w:kern w:val="24"/>
          <w:lang w:eastAsia="en-US"/>
        </w:rPr>
        <w:t xml:space="preserve">l precio de los pisos en </w:t>
      </w:r>
      <w:proofErr w:type="spellStart"/>
      <w:r w:rsidR="007449C6" w:rsidRPr="00851B40">
        <w:rPr>
          <w:rFonts w:eastAsiaTheme="minorEastAsia"/>
          <w:color w:val="000000" w:themeColor="text1"/>
          <w:kern w:val="24"/>
          <w:lang w:eastAsia="en-US"/>
        </w:rPr>
        <w:t>CyL</w:t>
      </w:r>
      <w:proofErr w:type="spellEnd"/>
      <w:r w:rsidR="007449C6" w:rsidRPr="00851B40">
        <w:rPr>
          <w:rFonts w:eastAsiaTheme="minorEastAsia"/>
          <w:color w:val="000000" w:themeColor="text1"/>
          <w:kern w:val="24"/>
          <w:lang w:eastAsia="en-US"/>
        </w:rPr>
        <w:t xml:space="preserve"> </w:t>
      </w:r>
      <w:r>
        <w:rPr>
          <w:rFonts w:eastAsiaTheme="minorEastAsia"/>
          <w:color w:val="000000" w:themeColor="text1"/>
          <w:kern w:val="24"/>
          <w:lang w:eastAsia="en-US"/>
        </w:rPr>
        <w:t xml:space="preserve">sólo </w:t>
      </w:r>
      <w:r w:rsidR="007449C6" w:rsidRPr="00851B40">
        <w:rPr>
          <w:rFonts w:eastAsiaTheme="minorEastAsia"/>
          <w:color w:val="000000" w:themeColor="text1"/>
          <w:kern w:val="24"/>
          <w:lang w:eastAsia="en-US"/>
        </w:rPr>
        <w:t>disminuyó un 3</w:t>
      </w:r>
      <w:r>
        <w:rPr>
          <w:rFonts w:eastAsiaTheme="minorEastAsia"/>
          <w:color w:val="000000" w:themeColor="text1"/>
          <w:kern w:val="24"/>
          <w:lang w:eastAsia="en-US"/>
        </w:rPr>
        <w:t>,2</w:t>
      </w:r>
      <w:r w:rsidR="007449C6" w:rsidRPr="00851B40">
        <w:rPr>
          <w:rFonts w:eastAsiaTheme="minorEastAsia"/>
          <w:color w:val="000000" w:themeColor="text1"/>
          <w:kern w:val="24"/>
          <w:lang w:eastAsia="en-US"/>
        </w:rPr>
        <w:t>% interanual hasta situarse en los 1.</w:t>
      </w:r>
      <w:r>
        <w:rPr>
          <w:rFonts w:eastAsiaTheme="minorEastAsia"/>
          <w:color w:val="000000" w:themeColor="text1"/>
          <w:kern w:val="24"/>
          <w:lang w:eastAsia="en-US"/>
        </w:rPr>
        <w:t>024</w:t>
      </w:r>
      <w:r w:rsidR="007449C6" w:rsidRPr="00851B40">
        <w:rPr>
          <w:rFonts w:eastAsiaTheme="minorEastAsia"/>
          <w:color w:val="000000" w:themeColor="text1"/>
          <w:kern w:val="24"/>
          <w:lang w:eastAsia="en-US"/>
        </w:rPr>
        <w:t xml:space="preserve"> €/m², en tanto que el coste de las unifamiliares </w:t>
      </w:r>
      <w:r>
        <w:rPr>
          <w:rFonts w:eastAsiaTheme="minorEastAsia"/>
          <w:color w:val="000000" w:themeColor="text1"/>
          <w:kern w:val="24"/>
          <w:lang w:eastAsia="en-US"/>
        </w:rPr>
        <w:t xml:space="preserve">se desplomó </w:t>
      </w:r>
      <w:r w:rsidR="007449C6" w:rsidRPr="00851B40">
        <w:rPr>
          <w:rFonts w:eastAsiaTheme="minorEastAsia"/>
          <w:color w:val="000000" w:themeColor="text1"/>
          <w:kern w:val="24"/>
          <w:lang w:eastAsia="en-US"/>
        </w:rPr>
        <w:t xml:space="preserve">un </w:t>
      </w:r>
      <w:r>
        <w:rPr>
          <w:rFonts w:eastAsiaTheme="minorEastAsia"/>
          <w:color w:val="000000" w:themeColor="text1"/>
          <w:kern w:val="24"/>
          <w:lang w:eastAsia="en-US"/>
        </w:rPr>
        <w:t>30,1</w:t>
      </w:r>
      <w:r w:rsidR="007449C6" w:rsidRPr="00851B40">
        <w:rPr>
          <w:rFonts w:eastAsiaTheme="minorEastAsia"/>
          <w:color w:val="000000" w:themeColor="text1"/>
          <w:kern w:val="24"/>
          <w:lang w:eastAsia="en-US"/>
        </w:rPr>
        <w:t xml:space="preserve">% </w:t>
      </w:r>
      <w:r w:rsidR="008B5D4E">
        <w:rPr>
          <w:rFonts w:eastAsiaTheme="minorEastAsia"/>
          <w:color w:val="000000" w:themeColor="text1"/>
          <w:kern w:val="24"/>
          <w:lang w:eastAsia="en-US"/>
        </w:rPr>
        <w:t xml:space="preserve">en comparación con el año anterior, </w:t>
      </w:r>
      <w:r w:rsidR="007449C6" w:rsidRPr="00851B40">
        <w:rPr>
          <w:rFonts w:eastAsiaTheme="minorEastAsia"/>
          <w:color w:val="000000" w:themeColor="text1"/>
          <w:kern w:val="24"/>
          <w:lang w:eastAsia="en-US"/>
        </w:rPr>
        <w:t xml:space="preserve">hasta los </w:t>
      </w:r>
      <w:r>
        <w:rPr>
          <w:rFonts w:eastAsiaTheme="minorEastAsia"/>
          <w:color w:val="000000" w:themeColor="text1"/>
          <w:kern w:val="24"/>
          <w:lang w:eastAsia="en-US"/>
        </w:rPr>
        <w:t>387</w:t>
      </w:r>
      <w:r w:rsidR="007449C6" w:rsidRPr="00851B40">
        <w:rPr>
          <w:rFonts w:eastAsiaTheme="minorEastAsia"/>
          <w:color w:val="000000" w:themeColor="text1"/>
          <w:kern w:val="24"/>
          <w:lang w:eastAsia="en-US"/>
        </w:rPr>
        <w:t xml:space="preserve"> €/m².</w:t>
      </w:r>
    </w:p>
    <w:p w:rsidR="007449C6" w:rsidRPr="00844B90" w:rsidRDefault="00844B90" w:rsidP="00EF7ABD">
      <w:pPr>
        <w:spacing w:before="120" w:line="274" w:lineRule="auto"/>
        <w:jc w:val="both"/>
        <w:rPr>
          <w:rFonts w:eastAsiaTheme="minorEastAsia"/>
          <w:color w:val="000000" w:themeColor="text1"/>
          <w:kern w:val="24"/>
          <w:u w:val="single"/>
          <w:lang w:eastAsia="en-US"/>
        </w:rPr>
      </w:pPr>
      <w:r w:rsidRPr="00844B90">
        <w:rPr>
          <w:rFonts w:eastAsiaTheme="minorEastAsia"/>
          <w:color w:val="000000" w:themeColor="text1"/>
          <w:kern w:val="24"/>
          <w:u w:val="single"/>
          <w:lang w:eastAsia="en-US"/>
        </w:rPr>
        <w:t>Descenso generalizado de compraventas</w:t>
      </w:r>
    </w:p>
    <w:p w:rsidR="00EF7ABD" w:rsidRPr="00616E10" w:rsidRDefault="00EF7ABD" w:rsidP="00EF7ABD">
      <w:pPr>
        <w:spacing w:before="120" w:line="274" w:lineRule="auto"/>
        <w:jc w:val="both"/>
        <w:rPr>
          <w:rFonts w:ascii="Times New Roman" w:eastAsia="Times New Roman" w:hAnsi="Times New Roman" w:cs="Times New Roman"/>
          <w:sz w:val="24"/>
          <w:szCs w:val="24"/>
          <w:lang w:eastAsia="en-US"/>
        </w:rPr>
      </w:pPr>
      <w:r w:rsidRPr="002317AE">
        <w:rPr>
          <w:rFonts w:eastAsiaTheme="minorEastAsia"/>
          <w:color w:val="000000" w:themeColor="text1"/>
          <w:kern w:val="24"/>
          <w:lang w:eastAsia="en-US"/>
        </w:rPr>
        <w:t xml:space="preserve">En </w:t>
      </w:r>
      <w:r>
        <w:rPr>
          <w:rFonts w:eastAsiaTheme="minorEastAsia"/>
          <w:color w:val="000000" w:themeColor="text1"/>
          <w:kern w:val="24"/>
          <w:lang w:eastAsia="en-US"/>
        </w:rPr>
        <w:t>junio</w:t>
      </w:r>
      <w:r w:rsidRPr="002317AE">
        <w:rPr>
          <w:rFonts w:eastAsiaTheme="minorEastAsia"/>
          <w:color w:val="000000" w:themeColor="text1"/>
          <w:kern w:val="24"/>
          <w:lang w:eastAsia="en-US"/>
        </w:rPr>
        <w:t xml:space="preserve"> pasado se contabilizaron en </w:t>
      </w:r>
      <w:r w:rsidR="00E96B67">
        <w:rPr>
          <w:rFonts w:eastAsiaTheme="minorEastAsia"/>
          <w:color w:val="000000" w:themeColor="text1"/>
          <w:kern w:val="24"/>
          <w:lang w:eastAsia="en-US"/>
        </w:rPr>
        <w:t>la comunidad autónoma 3.055</w:t>
      </w:r>
      <w:r w:rsidRPr="002317AE">
        <w:rPr>
          <w:rFonts w:eastAsiaTheme="minorEastAsia"/>
          <w:color w:val="000000" w:themeColor="text1"/>
          <w:kern w:val="24"/>
          <w:lang w:eastAsia="en-US"/>
        </w:rPr>
        <w:t xml:space="preserve"> compraventas</w:t>
      </w:r>
      <w:r w:rsidR="00E96B67">
        <w:rPr>
          <w:rFonts w:eastAsiaTheme="minorEastAsia"/>
          <w:color w:val="000000" w:themeColor="text1"/>
          <w:kern w:val="24"/>
          <w:lang w:eastAsia="en-US"/>
        </w:rPr>
        <w:t>, un 8,3% menos que en el mismo mes de 2022</w:t>
      </w:r>
      <w:r w:rsidRPr="002317AE">
        <w:rPr>
          <w:rFonts w:eastAsiaTheme="minorEastAsia"/>
          <w:color w:val="000000" w:themeColor="text1"/>
          <w:kern w:val="24"/>
          <w:lang w:eastAsia="en-US"/>
        </w:rPr>
        <w:t xml:space="preserve">. Según el tipo de vivienda, </w:t>
      </w:r>
      <w:r w:rsidR="00E96B67">
        <w:rPr>
          <w:rFonts w:eastAsiaTheme="minorEastAsia"/>
          <w:color w:val="000000" w:themeColor="text1"/>
          <w:kern w:val="24"/>
          <w:lang w:eastAsia="en-US"/>
        </w:rPr>
        <w:t>2.114</w:t>
      </w:r>
      <w:r w:rsidRPr="002317AE">
        <w:rPr>
          <w:rFonts w:eastAsiaTheme="minorEastAsia"/>
          <w:color w:val="000000" w:themeColor="text1"/>
          <w:kern w:val="24"/>
          <w:lang w:eastAsia="en-US"/>
        </w:rPr>
        <w:t xml:space="preserve"> de ellas fueron pisos (un </w:t>
      </w:r>
      <w:r w:rsidR="007449C6">
        <w:rPr>
          <w:rFonts w:eastAsiaTheme="minorEastAsia"/>
          <w:color w:val="000000" w:themeColor="text1"/>
          <w:kern w:val="24"/>
          <w:lang w:eastAsia="en-US"/>
        </w:rPr>
        <w:t>10,6% menos</w:t>
      </w:r>
      <w:r w:rsidRPr="002317AE">
        <w:rPr>
          <w:rFonts w:eastAsiaTheme="minorEastAsia"/>
          <w:color w:val="000000" w:themeColor="text1"/>
          <w:kern w:val="24"/>
          <w:lang w:eastAsia="en-US"/>
        </w:rPr>
        <w:t xml:space="preserve">), y </w:t>
      </w:r>
      <w:r w:rsidR="007449C6">
        <w:rPr>
          <w:rFonts w:eastAsiaTheme="minorEastAsia"/>
          <w:color w:val="000000" w:themeColor="text1"/>
          <w:kern w:val="24"/>
          <w:lang w:eastAsia="en-US"/>
        </w:rPr>
        <w:t>941</w:t>
      </w:r>
      <w:r w:rsidRPr="002317AE">
        <w:rPr>
          <w:rFonts w:eastAsiaTheme="minorEastAsia"/>
          <w:color w:val="000000" w:themeColor="text1"/>
          <w:kern w:val="24"/>
          <w:lang w:eastAsia="en-US"/>
        </w:rPr>
        <w:t xml:space="preserve">, unifamiliares, un </w:t>
      </w:r>
      <w:r w:rsidR="007449C6">
        <w:rPr>
          <w:rFonts w:eastAsiaTheme="minorEastAsia"/>
          <w:color w:val="000000" w:themeColor="text1"/>
          <w:kern w:val="24"/>
          <w:lang w:eastAsia="en-US"/>
        </w:rPr>
        <w:t>2,8</w:t>
      </w:r>
      <w:r w:rsidRPr="002317AE">
        <w:rPr>
          <w:rFonts w:eastAsiaTheme="minorEastAsia"/>
          <w:color w:val="000000" w:themeColor="text1"/>
          <w:kern w:val="24"/>
          <w:lang w:eastAsia="en-US"/>
        </w:rPr>
        <w:t>% menos que un año antes.</w:t>
      </w:r>
      <w:r w:rsidR="00844B90">
        <w:rPr>
          <w:rFonts w:eastAsiaTheme="minorEastAsia"/>
          <w:color w:val="000000" w:themeColor="text1"/>
          <w:kern w:val="24"/>
          <w:lang w:eastAsia="en-US"/>
        </w:rPr>
        <w:t xml:space="preserve"> </w:t>
      </w:r>
      <w:r>
        <w:rPr>
          <w:rFonts w:eastAsiaTheme="minorEastAsia"/>
          <w:kern w:val="24"/>
          <w:lang w:eastAsia="en-US"/>
        </w:rPr>
        <w:t>E</w:t>
      </w:r>
      <w:r w:rsidR="007449C6">
        <w:rPr>
          <w:rFonts w:eastAsiaTheme="minorEastAsia"/>
          <w:kern w:val="24"/>
          <w:lang w:eastAsia="en-US"/>
        </w:rPr>
        <w:t xml:space="preserve">n </w:t>
      </w:r>
      <w:r>
        <w:rPr>
          <w:rFonts w:eastAsiaTheme="minorEastAsia"/>
          <w:kern w:val="24"/>
          <w:lang w:eastAsia="en-US"/>
        </w:rPr>
        <w:t>el conjunto de España, l</w:t>
      </w:r>
      <w:r w:rsidRPr="009875B5">
        <w:rPr>
          <w:rFonts w:eastAsiaTheme="minorEastAsia"/>
          <w:color w:val="000000" w:themeColor="text1"/>
          <w:kern w:val="24"/>
          <w:lang w:eastAsia="en-US"/>
        </w:rPr>
        <w:t xml:space="preserve">as compraventas </w:t>
      </w:r>
      <w:r w:rsidR="007449C6">
        <w:rPr>
          <w:rFonts w:eastAsiaTheme="minorEastAsia"/>
          <w:color w:val="000000" w:themeColor="text1"/>
          <w:kern w:val="24"/>
          <w:lang w:eastAsia="en-US"/>
        </w:rPr>
        <w:t xml:space="preserve">de vivienda </w:t>
      </w:r>
      <w:r w:rsidRPr="009875B5">
        <w:rPr>
          <w:rFonts w:eastAsiaTheme="minorEastAsia"/>
          <w:color w:val="000000" w:themeColor="text1"/>
          <w:kern w:val="24"/>
          <w:lang w:eastAsia="en-US"/>
        </w:rPr>
        <w:t xml:space="preserve">disminuyeron un </w:t>
      </w:r>
      <w:r w:rsidR="007449C6" w:rsidRPr="00CB792C">
        <w:rPr>
          <w:rFonts w:eastAsia="+mn-ea" w:cs="+mn-cs"/>
          <w:color w:val="000000"/>
          <w:kern w:val="24"/>
          <w:lang w:eastAsia="es-MX"/>
        </w:rPr>
        <w:t>14,5%</w:t>
      </w:r>
      <w:r w:rsidR="007449C6">
        <w:rPr>
          <w:rFonts w:eastAsia="+mn-ea" w:cs="+mn-cs"/>
          <w:color w:val="000000"/>
          <w:kern w:val="24"/>
          <w:lang w:eastAsia="es-MX"/>
        </w:rPr>
        <w:t xml:space="preserve"> </w:t>
      </w:r>
      <w:r w:rsidR="007449C6">
        <w:rPr>
          <w:rFonts w:eastAsiaTheme="minorEastAsia"/>
          <w:color w:val="000000" w:themeColor="text1"/>
          <w:kern w:val="24"/>
          <w:lang w:eastAsia="en-US"/>
        </w:rPr>
        <w:t xml:space="preserve">interanual: un </w:t>
      </w:r>
      <w:r w:rsidR="007449C6" w:rsidRPr="00CB792C">
        <w:rPr>
          <w:rFonts w:eastAsia="+mn-ea" w:cs="+mn-cs"/>
          <w:color w:val="000000"/>
          <w:kern w:val="24"/>
          <w:lang w:eastAsia="es-MX"/>
        </w:rPr>
        <w:t>13,8%</w:t>
      </w:r>
      <w:r w:rsidR="007449C6" w:rsidRPr="00CB792C">
        <w:rPr>
          <w:rFonts w:eastAsia="+mn-ea"/>
          <w:color w:val="000000"/>
          <w:kern w:val="24"/>
          <w:lang w:eastAsia="es-MX"/>
        </w:rPr>
        <w:t xml:space="preserve"> </w:t>
      </w:r>
      <w:r w:rsidR="007449C6">
        <w:rPr>
          <w:rFonts w:eastAsia="+mn-ea"/>
          <w:color w:val="000000"/>
          <w:kern w:val="24"/>
          <w:lang w:eastAsia="es-MX"/>
        </w:rPr>
        <w:t xml:space="preserve">los pisos y un </w:t>
      </w:r>
      <w:r w:rsidR="007449C6" w:rsidRPr="00CB792C">
        <w:rPr>
          <w:rFonts w:eastAsia="+mn-ea" w:cs="+mn-cs"/>
          <w:color w:val="000000"/>
          <w:kern w:val="24"/>
          <w:lang w:eastAsia="es-MX"/>
        </w:rPr>
        <w:t>16,7</w:t>
      </w:r>
      <w:r w:rsidR="007449C6">
        <w:rPr>
          <w:rFonts w:eastAsia="+mn-ea" w:cs="+mn-cs"/>
          <w:color w:val="000000"/>
          <w:kern w:val="24"/>
          <w:lang w:eastAsia="es-MX"/>
        </w:rPr>
        <w:t>% las unifamiliares.</w:t>
      </w:r>
    </w:p>
    <w:p w:rsidR="00CB792C" w:rsidRPr="00844B90" w:rsidRDefault="00CB792C" w:rsidP="00CB792C">
      <w:pPr>
        <w:spacing w:before="120" w:line="273" w:lineRule="auto"/>
        <w:jc w:val="both"/>
        <w:rPr>
          <w:rFonts w:ascii="Times New Roman" w:eastAsia="Times New Roman" w:hAnsi="Times New Roman" w:cs="Times New Roman"/>
          <w:sz w:val="24"/>
          <w:szCs w:val="24"/>
          <w:lang w:val="es-MX" w:eastAsia="es-MX"/>
        </w:rPr>
      </w:pPr>
      <w:r w:rsidRPr="00CB792C">
        <w:rPr>
          <w:rFonts w:eastAsia="+mn-ea"/>
          <w:color w:val="000000"/>
          <w:kern w:val="24"/>
          <w:lang w:val="es-MX" w:eastAsia="es-MX"/>
        </w:rPr>
        <w:t>La</w:t>
      </w:r>
      <w:r w:rsidR="00844B90">
        <w:rPr>
          <w:rFonts w:eastAsia="+mn-ea"/>
          <w:color w:val="000000"/>
          <w:kern w:val="24"/>
          <w:lang w:val="es-MX" w:eastAsia="es-MX"/>
        </w:rPr>
        <w:t>s</w:t>
      </w:r>
      <w:r w:rsidRPr="00CB792C">
        <w:rPr>
          <w:rFonts w:eastAsia="+mn-ea"/>
          <w:color w:val="000000"/>
          <w:kern w:val="24"/>
          <w:lang w:val="es-MX" w:eastAsia="es-MX"/>
        </w:rPr>
        <w:t xml:space="preserve"> compraventa</w:t>
      </w:r>
      <w:r w:rsidR="00844B90">
        <w:rPr>
          <w:rFonts w:eastAsia="+mn-ea"/>
          <w:color w:val="000000"/>
          <w:kern w:val="24"/>
          <w:lang w:val="es-MX" w:eastAsia="es-MX"/>
        </w:rPr>
        <w:t>s</w:t>
      </w:r>
      <w:r w:rsidRPr="00CB792C">
        <w:rPr>
          <w:rFonts w:eastAsia="+mn-ea"/>
          <w:color w:val="000000"/>
          <w:kern w:val="24"/>
          <w:lang w:val="es-MX" w:eastAsia="es-MX"/>
        </w:rPr>
        <w:t xml:space="preserve"> </w:t>
      </w:r>
      <w:r w:rsidR="00844B90">
        <w:rPr>
          <w:rFonts w:eastAsia="+mn-ea"/>
          <w:color w:val="000000"/>
          <w:kern w:val="24"/>
          <w:lang w:val="es-MX" w:eastAsia="es-MX"/>
        </w:rPr>
        <w:t xml:space="preserve">sólo </w:t>
      </w:r>
      <w:r w:rsidRPr="00CB792C">
        <w:rPr>
          <w:rFonts w:eastAsia="+mn-ea" w:cs="+mn-cs"/>
          <w:color w:val="000000"/>
          <w:kern w:val="24"/>
          <w:lang w:val="es-MX" w:eastAsia="es-MX"/>
        </w:rPr>
        <w:t>creci</w:t>
      </w:r>
      <w:r w:rsidR="00844B90">
        <w:rPr>
          <w:rFonts w:eastAsia="+mn-ea" w:cs="+mn-cs"/>
          <w:color w:val="000000"/>
          <w:kern w:val="24"/>
          <w:lang w:val="es-MX" w:eastAsia="es-MX"/>
        </w:rPr>
        <w:t xml:space="preserve">eron </w:t>
      </w:r>
      <w:r w:rsidRPr="00CB792C">
        <w:rPr>
          <w:rFonts w:eastAsia="+mn-ea" w:cs="+mn-cs"/>
          <w:color w:val="000000"/>
          <w:kern w:val="24"/>
          <w:lang w:val="es-MX" w:eastAsia="es-MX"/>
        </w:rPr>
        <w:t xml:space="preserve">en </w:t>
      </w:r>
      <w:r w:rsidR="009D21A6" w:rsidRPr="00CB792C">
        <w:rPr>
          <w:rFonts w:eastAsia="+mn-ea" w:cs="+mn-cs"/>
          <w:color w:val="000000"/>
          <w:kern w:val="24"/>
          <w:lang w:val="es-MX" w:eastAsia="es-MX"/>
        </w:rPr>
        <w:t>Asturias (3,0%)</w:t>
      </w:r>
      <w:r w:rsidR="009D21A6">
        <w:rPr>
          <w:rFonts w:eastAsia="+mn-ea" w:cs="+mn-cs"/>
          <w:color w:val="000000"/>
          <w:kern w:val="24"/>
          <w:lang w:val="es-MX" w:eastAsia="es-MX"/>
        </w:rPr>
        <w:t xml:space="preserve"> </w:t>
      </w:r>
      <w:r w:rsidRPr="00CB792C">
        <w:rPr>
          <w:rFonts w:eastAsia="+mn-ea" w:cs="+mn-cs"/>
          <w:color w:val="000000"/>
          <w:kern w:val="24"/>
          <w:lang w:val="es-MX" w:eastAsia="es-MX"/>
        </w:rPr>
        <w:t>y se reduj</w:t>
      </w:r>
      <w:r w:rsidR="00844B90">
        <w:rPr>
          <w:rFonts w:eastAsia="+mn-ea" w:cs="+mn-cs"/>
          <w:color w:val="000000"/>
          <w:kern w:val="24"/>
          <w:lang w:val="es-MX" w:eastAsia="es-MX"/>
        </w:rPr>
        <w:t>eron</w:t>
      </w:r>
      <w:r w:rsidRPr="00CB792C">
        <w:rPr>
          <w:rFonts w:eastAsia="+mn-ea" w:cs="+mn-cs"/>
          <w:color w:val="000000"/>
          <w:kern w:val="24"/>
          <w:lang w:val="es-MX" w:eastAsia="es-MX"/>
        </w:rPr>
        <w:t xml:space="preserve"> en las 16 </w:t>
      </w:r>
      <w:r w:rsidR="009D21A6">
        <w:rPr>
          <w:rFonts w:eastAsia="+mn-ea" w:cs="+mn-cs"/>
          <w:color w:val="000000"/>
          <w:kern w:val="24"/>
          <w:lang w:val="es-MX" w:eastAsia="es-MX"/>
        </w:rPr>
        <w:t xml:space="preserve">comunidades </w:t>
      </w:r>
      <w:r w:rsidR="00844B90">
        <w:rPr>
          <w:rFonts w:eastAsia="+mn-ea" w:cs="+mn-cs"/>
          <w:color w:val="000000"/>
          <w:kern w:val="24"/>
          <w:lang w:val="es-MX" w:eastAsia="es-MX"/>
        </w:rPr>
        <w:t xml:space="preserve">restantes: </w:t>
      </w:r>
      <w:r w:rsidRPr="00CB792C">
        <w:rPr>
          <w:rFonts w:eastAsia="+mn-ea" w:cs="+mn-cs"/>
          <w:color w:val="000000"/>
          <w:kern w:val="24"/>
          <w:lang w:val="es-MX" w:eastAsia="es-MX"/>
        </w:rPr>
        <w:t>Murcia (-2,9%), Galicia (-5,5%), Extremadura (-8,0%), Aragón (</w:t>
      </w:r>
      <w:r w:rsidR="00C6544C">
        <w:rPr>
          <w:rFonts w:eastAsiaTheme="minorEastAsia"/>
          <w:i/>
          <w:iCs/>
          <w:color w:val="000000" w:themeColor="text1"/>
          <w:kern w:val="24"/>
          <w:lang w:eastAsia="en-US"/>
        </w:rPr>
        <w:noBreakHyphen/>
      </w:r>
      <w:r w:rsidRPr="00CB792C">
        <w:rPr>
          <w:rFonts w:eastAsia="+mn-ea" w:cs="+mn-cs"/>
          <w:color w:val="000000"/>
          <w:kern w:val="24"/>
          <w:lang w:val="es-MX" w:eastAsia="es-MX"/>
        </w:rPr>
        <w:t>8,3%), Castilla y León (-8,3%), Castilla-La Mancha (-10,3%), Navarra (-10,5%), Cantabria (-13,7%),</w:t>
      </w:r>
      <w:r w:rsidR="00844B90">
        <w:rPr>
          <w:rFonts w:eastAsia="+mn-ea" w:cs="+mn-cs"/>
          <w:color w:val="000000"/>
          <w:kern w:val="24"/>
          <w:lang w:val="es-MX" w:eastAsia="es-MX"/>
        </w:rPr>
        <w:t xml:space="preserve"> Comunidad Valenciana (-13,7%),</w:t>
      </w:r>
      <w:r w:rsidRPr="00CB792C">
        <w:rPr>
          <w:rFonts w:eastAsia="+mn-ea" w:cs="+mn-cs"/>
          <w:color w:val="000000"/>
          <w:kern w:val="24"/>
          <w:lang w:val="es-MX" w:eastAsia="es-MX"/>
        </w:rPr>
        <w:t xml:space="preserve"> Cataluña (-14,0%)</w:t>
      </w:r>
      <w:r w:rsidR="00844B90">
        <w:rPr>
          <w:rFonts w:eastAsia="+mn-ea"/>
          <w:color w:val="000000"/>
          <w:kern w:val="24"/>
          <w:lang w:eastAsia="es-MX"/>
        </w:rPr>
        <w:t xml:space="preserve">, </w:t>
      </w:r>
      <w:r w:rsidRPr="00CB792C">
        <w:rPr>
          <w:rFonts w:eastAsia="+mn-ea" w:cs="+mn-cs"/>
          <w:color w:val="000000"/>
          <w:kern w:val="24"/>
          <w:lang w:val="es-MX" w:eastAsia="es-MX"/>
        </w:rPr>
        <w:t>País Vasco (-14,6%)</w:t>
      </w:r>
      <w:r w:rsidR="00874052">
        <w:rPr>
          <w:rFonts w:eastAsia="+mn-ea" w:cs="+mn-cs"/>
          <w:color w:val="000000"/>
          <w:kern w:val="24"/>
          <w:lang w:val="es-MX" w:eastAsia="es-MX"/>
        </w:rPr>
        <w:t xml:space="preserve">, </w:t>
      </w:r>
      <w:r w:rsidR="00874052" w:rsidRPr="00CB792C">
        <w:rPr>
          <w:rFonts w:eastAsia="+mn-ea" w:cs="+mn-cs"/>
          <w:color w:val="000000"/>
          <w:kern w:val="24"/>
          <w:lang w:val="es-MX" w:eastAsia="es-MX"/>
        </w:rPr>
        <w:t>Andalucía (-15,8%),</w:t>
      </w:r>
      <w:r w:rsidR="00874052" w:rsidRPr="00874052">
        <w:rPr>
          <w:rFonts w:eastAsia="+mn-ea" w:cs="+mn-cs"/>
          <w:color w:val="000000"/>
          <w:kern w:val="24"/>
          <w:lang w:val="es-MX" w:eastAsia="es-MX"/>
        </w:rPr>
        <w:t xml:space="preserve"> </w:t>
      </w:r>
      <w:r w:rsidR="00874052" w:rsidRPr="00CB792C">
        <w:rPr>
          <w:rFonts w:eastAsia="+mn-ea" w:cs="+mn-cs"/>
          <w:color w:val="000000"/>
          <w:kern w:val="24"/>
          <w:lang w:val="es-MX" w:eastAsia="es-MX"/>
        </w:rPr>
        <w:t>Madrid (-18,1%),</w:t>
      </w:r>
      <w:r w:rsidR="00874052" w:rsidRPr="00874052">
        <w:rPr>
          <w:rFonts w:eastAsia="+mn-ea" w:cs="+mn-cs"/>
          <w:color w:val="000000"/>
          <w:kern w:val="24"/>
          <w:lang w:val="es-MX" w:eastAsia="es-MX"/>
        </w:rPr>
        <w:t xml:space="preserve"> </w:t>
      </w:r>
      <w:r w:rsidR="00874052" w:rsidRPr="00CB792C">
        <w:rPr>
          <w:rFonts w:eastAsia="+mn-ea" w:cs="+mn-cs"/>
          <w:color w:val="000000"/>
          <w:kern w:val="24"/>
          <w:lang w:val="es-MX" w:eastAsia="es-MX"/>
        </w:rPr>
        <w:t>La Rioja (</w:t>
      </w:r>
      <w:r w:rsidR="00C6544C">
        <w:rPr>
          <w:rFonts w:eastAsiaTheme="minorEastAsia"/>
          <w:i/>
          <w:iCs/>
          <w:color w:val="000000" w:themeColor="text1"/>
          <w:kern w:val="24"/>
          <w:lang w:eastAsia="en-US"/>
        </w:rPr>
        <w:noBreakHyphen/>
      </w:r>
      <w:r w:rsidR="00874052" w:rsidRPr="00CB792C">
        <w:rPr>
          <w:rFonts w:eastAsia="+mn-ea" w:cs="+mn-cs"/>
          <w:color w:val="000000"/>
          <w:kern w:val="24"/>
          <w:lang w:val="es-MX" w:eastAsia="es-MX"/>
        </w:rPr>
        <w:t>29,6%)</w:t>
      </w:r>
      <w:r w:rsidR="00874052">
        <w:rPr>
          <w:rFonts w:eastAsia="+mn-ea" w:cs="+mn-cs"/>
          <w:color w:val="000000"/>
          <w:kern w:val="24"/>
          <w:lang w:val="es-MX" w:eastAsia="es-MX"/>
        </w:rPr>
        <w:t>,</w:t>
      </w:r>
      <w:r w:rsidR="00874052" w:rsidRPr="00874052">
        <w:rPr>
          <w:rFonts w:eastAsia="+mn-ea" w:cs="+mn-cs"/>
          <w:color w:val="000000"/>
          <w:kern w:val="24"/>
          <w:lang w:val="es-MX" w:eastAsia="es-MX"/>
        </w:rPr>
        <w:t xml:space="preserve"> </w:t>
      </w:r>
      <w:r w:rsidR="00874052" w:rsidRPr="00CB792C">
        <w:rPr>
          <w:rFonts w:eastAsia="+mn-ea" w:cs="+mn-cs"/>
          <w:color w:val="000000"/>
          <w:kern w:val="24"/>
          <w:lang w:val="es-MX" w:eastAsia="es-MX"/>
        </w:rPr>
        <w:t>Baleares (-29,8%)</w:t>
      </w:r>
      <w:r w:rsidR="00874052">
        <w:rPr>
          <w:rFonts w:eastAsia="+mn-ea" w:cs="+mn-cs"/>
          <w:color w:val="000000"/>
          <w:kern w:val="24"/>
          <w:lang w:val="es-MX" w:eastAsia="es-MX"/>
        </w:rPr>
        <w:t xml:space="preserve"> y </w:t>
      </w:r>
      <w:r w:rsidR="00874052" w:rsidRPr="00CB792C">
        <w:rPr>
          <w:rFonts w:eastAsia="+mn-ea" w:cs="+mn-cs"/>
          <w:color w:val="000000"/>
          <w:kern w:val="24"/>
          <w:lang w:val="es-MX" w:eastAsia="es-MX"/>
        </w:rPr>
        <w:t>Canarias (-30,1%)</w:t>
      </w:r>
      <w:r w:rsidR="00874052">
        <w:rPr>
          <w:rFonts w:eastAsia="+mn-ea" w:cs="+mn-cs"/>
          <w:color w:val="000000"/>
          <w:kern w:val="24"/>
          <w:lang w:val="es-MX" w:eastAsia="es-MX"/>
        </w:rPr>
        <w:t>.</w:t>
      </w:r>
    </w:p>
    <w:p w:rsidR="00CB792C" w:rsidRPr="00CB792C" w:rsidRDefault="00CB792C" w:rsidP="00CB792C">
      <w:pPr>
        <w:spacing w:before="150" w:line="216" w:lineRule="auto"/>
        <w:jc w:val="both"/>
        <w:rPr>
          <w:rFonts w:ascii="Times New Roman" w:eastAsia="Times New Roman" w:hAnsi="Times New Roman" w:cs="Times New Roman"/>
          <w:sz w:val="24"/>
          <w:szCs w:val="24"/>
          <w:lang w:val="es-MX" w:eastAsia="es-MX"/>
        </w:rPr>
      </w:pPr>
      <w:r w:rsidRPr="00CB792C">
        <w:rPr>
          <w:rFonts w:eastAsia="+mn-ea" w:cs="+mn-cs"/>
          <w:color w:val="000000"/>
          <w:kern w:val="24"/>
          <w:u w:val="single"/>
          <w:lang w:eastAsia="es-MX"/>
        </w:rPr>
        <w:t>Disminución</w:t>
      </w:r>
      <w:r w:rsidRPr="00CB792C">
        <w:rPr>
          <w:rFonts w:eastAsia="+mn-ea"/>
          <w:color w:val="000000"/>
          <w:kern w:val="24"/>
          <w:u w:val="single"/>
          <w:lang w:eastAsia="es-MX"/>
        </w:rPr>
        <w:t xml:space="preserve"> de los préstamos para adquisición de vivienda</w:t>
      </w:r>
    </w:p>
    <w:p w:rsidR="00CB792C" w:rsidRDefault="00CB792C" w:rsidP="00CB792C">
      <w:pPr>
        <w:spacing w:before="120" w:line="273" w:lineRule="auto"/>
        <w:jc w:val="both"/>
        <w:rPr>
          <w:rFonts w:eastAsia="+mn-ea"/>
          <w:color w:val="000000"/>
          <w:kern w:val="24"/>
          <w:lang w:eastAsia="es-MX"/>
        </w:rPr>
      </w:pPr>
      <w:r w:rsidRPr="00CB792C">
        <w:rPr>
          <w:rFonts w:eastAsia="+mn-ea"/>
          <w:color w:val="000000"/>
          <w:kern w:val="24"/>
          <w:lang w:eastAsia="es-MX"/>
        </w:rPr>
        <w:t xml:space="preserve">En </w:t>
      </w:r>
      <w:r w:rsidRPr="00CB792C">
        <w:rPr>
          <w:rFonts w:eastAsia="+mn-ea" w:cs="+mn-cs"/>
          <w:color w:val="000000"/>
          <w:kern w:val="24"/>
          <w:lang w:eastAsia="es-MX"/>
        </w:rPr>
        <w:t>junio</w:t>
      </w:r>
      <w:r w:rsidRPr="00CB792C">
        <w:rPr>
          <w:rFonts w:eastAsia="+mn-ea"/>
          <w:color w:val="000000"/>
          <w:kern w:val="24"/>
          <w:lang w:eastAsia="es-MX"/>
        </w:rPr>
        <w:t xml:space="preserve">, los préstamos hipotecarios para adquisición de vivienda </w:t>
      </w:r>
      <w:r w:rsidRPr="00CB792C">
        <w:rPr>
          <w:rFonts w:eastAsia="+mn-ea" w:cs="+mn-cs"/>
          <w:color w:val="000000"/>
          <w:kern w:val="24"/>
          <w:lang w:eastAsia="es-MX"/>
        </w:rPr>
        <w:t>decrecieron</w:t>
      </w:r>
      <w:r w:rsidRPr="00CB792C">
        <w:rPr>
          <w:rFonts w:eastAsia="+mn-ea"/>
          <w:color w:val="000000"/>
          <w:kern w:val="24"/>
          <w:lang w:eastAsia="es-MX"/>
        </w:rPr>
        <w:t xml:space="preserve"> un </w:t>
      </w:r>
      <w:r w:rsidR="002F084B">
        <w:rPr>
          <w:rFonts w:eastAsia="+mn-ea" w:cs="+mn-cs"/>
          <w:color w:val="000000"/>
          <w:kern w:val="24"/>
          <w:lang w:eastAsia="es-MX"/>
        </w:rPr>
        <w:t>25,8</w:t>
      </w:r>
      <w:r w:rsidRPr="00CB792C">
        <w:rPr>
          <w:rFonts w:eastAsia="+mn-ea" w:cs="+mn-cs"/>
          <w:color w:val="000000"/>
          <w:kern w:val="24"/>
          <w:lang w:eastAsia="es-MX"/>
        </w:rPr>
        <w:t>%</w:t>
      </w:r>
      <w:r w:rsidRPr="00CB792C">
        <w:rPr>
          <w:rFonts w:eastAsia="+mn-ea"/>
          <w:color w:val="000000"/>
          <w:kern w:val="24"/>
          <w:lang w:eastAsia="es-MX"/>
        </w:rPr>
        <w:t xml:space="preserve"> interanual</w:t>
      </w:r>
      <w:r w:rsidR="00844B90">
        <w:rPr>
          <w:rFonts w:eastAsia="+mn-ea"/>
          <w:color w:val="000000"/>
          <w:kern w:val="24"/>
          <w:lang w:eastAsia="es-MX"/>
        </w:rPr>
        <w:t xml:space="preserve"> en España y un 21,9% en Castilla y León</w:t>
      </w:r>
      <w:r w:rsidRPr="00CB792C">
        <w:rPr>
          <w:rFonts w:eastAsia="+mn-ea"/>
          <w:color w:val="000000"/>
          <w:kern w:val="24"/>
          <w:lang w:eastAsia="es-MX"/>
        </w:rPr>
        <w:t xml:space="preserve">, </w:t>
      </w:r>
      <w:r w:rsidR="00844B90">
        <w:rPr>
          <w:rFonts w:eastAsia="+mn-ea"/>
          <w:color w:val="000000"/>
          <w:kern w:val="24"/>
          <w:lang w:eastAsia="es-MX"/>
        </w:rPr>
        <w:t xml:space="preserve">en donde se firmaron 1.113 operaciones. </w:t>
      </w:r>
      <w:r w:rsidRPr="00CB792C">
        <w:rPr>
          <w:rFonts w:eastAsia="+mn-ea"/>
          <w:color w:val="000000"/>
          <w:kern w:val="24"/>
          <w:lang w:eastAsia="es-MX"/>
        </w:rPr>
        <w:t xml:space="preserve">La cuantía promedio de estos préstamos </w:t>
      </w:r>
      <w:r w:rsidR="008B5D4E">
        <w:rPr>
          <w:rFonts w:eastAsia="+mn-ea"/>
          <w:color w:val="000000"/>
          <w:kern w:val="24"/>
          <w:lang w:eastAsia="es-MX"/>
        </w:rPr>
        <w:t xml:space="preserve">fue de </w:t>
      </w:r>
      <w:r w:rsidR="008B5D4E">
        <w:rPr>
          <w:rFonts w:eastAsia="+mn-ea" w:cs="+mn-cs"/>
          <w:color w:val="000000"/>
          <w:kern w:val="24"/>
          <w:lang w:eastAsia="es-MX"/>
        </w:rPr>
        <w:t>102.511</w:t>
      </w:r>
      <w:r w:rsidR="008B5D4E" w:rsidRPr="00CB792C">
        <w:rPr>
          <w:rFonts w:eastAsia="+mn-ea"/>
          <w:color w:val="000000"/>
          <w:kern w:val="24"/>
          <w:lang w:eastAsia="es-MX"/>
        </w:rPr>
        <w:t xml:space="preserve"> </w:t>
      </w:r>
      <w:r w:rsidR="008B5D4E">
        <w:rPr>
          <w:rFonts w:eastAsia="+mn-ea"/>
          <w:color w:val="000000"/>
          <w:kern w:val="24"/>
          <w:lang w:eastAsia="es-MX"/>
        </w:rPr>
        <w:t xml:space="preserve">euros </w:t>
      </w:r>
      <w:r w:rsidRPr="00CB792C">
        <w:rPr>
          <w:rFonts w:eastAsia="+mn-ea"/>
          <w:color w:val="000000"/>
          <w:kern w:val="24"/>
          <w:lang w:eastAsia="es-MX"/>
        </w:rPr>
        <w:t xml:space="preserve">un </w:t>
      </w:r>
      <w:r w:rsidR="008B5D4E">
        <w:rPr>
          <w:rFonts w:eastAsia="+mn-ea" w:cs="+mn-cs"/>
          <w:color w:val="000000"/>
          <w:kern w:val="24"/>
          <w:lang w:eastAsia="es-MX"/>
        </w:rPr>
        <w:lastRenderedPageBreak/>
        <w:t>3,6</w:t>
      </w:r>
      <w:r w:rsidRPr="00CB792C">
        <w:rPr>
          <w:rFonts w:eastAsia="+mn-ea" w:cs="+mn-cs"/>
          <w:color w:val="000000"/>
          <w:kern w:val="24"/>
          <w:lang w:eastAsia="es-MX"/>
        </w:rPr>
        <w:t>%</w:t>
      </w:r>
      <w:r w:rsidRPr="00CB792C">
        <w:rPr>
          <w:rFonts w:eastAsia="+mn-ea"/>
          <w:color w:val="000000"/>
          <w:kern w:val="24"/>
          <w:lang w:eastAsia="es-MX"/>
        </w:rPr>
        <w:t xml:space="preserve"> </w:t>
      </w:r>
      <w:r w:rsidR="008B5D4E">
        <w:rPr>
          <w:rFonts w:eastAsia="+mn-ea"/>
          <w:color w:val="000000"/>
          <w:kern w:val="24"/>
          <w:lang w:eastAsia="es-MX"/>
        </w:rPr>
        <w:t xml:space="preserve">menos que en junio de 2022, </w:t>
      </w:r>
      <w:r w:rsidR="008B5D4E">
        <w:rPr>
          <w:rFonts w:eastAsiaTheme="minorEastAsia"/>
          <w:kern w:val="24"/>
          <w:lang w:eastAsia="en-US"/>
        </w:rPr>
        <w:t xml:space="preserve">y sólo un 36,4% </w:t>
      </w:r>
      <w:r w:rsidR="008B5D4E" w:rsidRPr="00177B46">
        <w:rPr>
          <w:rFonts w:eastAsiaTheme="minorEastAsia"/>
          <w:color w:val="000000" w:themeColor="text1"/>
          <w:kern w:val="24"/>
          <w:lang w:eastAsia="en-US"/>
        </w:rPr>
        <w:t xml:space="preserve">de </w:t>
      </w:r>
      <w:r w:rsidR="008B5D4E">
        <w:rPr>
          <w:rFonts w:eastAsiaTheme="minorEastAsia"/>
          <w:color w:val="000000" w:themeColor="text1"/>
          <w:kern w:val="24"/>
          <w:lang w:eastAsia="en-US"/>
        </w:rPr>
        <w:t xml:space="preserve">las </w:t>
      </w:r>
      <w:r w:rsidR="008B5D4E" w:rsidRPr="00177B46">
        <w:rPr>
          <w:rFonts w:eastAsiaTheme="minorEastAsia"/>
          <w:color w:val="000000" w:themeColor="text1"/>
          <w:kern w:val="24"/>
          <w:lang w:eastAsia="en-US"/>
        </w:rPr>
        <w:t xml:space="preserve">compras de viviendas </w:t>
      </w:r>
      <w:r w:rsidR="008B5D4E">
        <w:rPr>
          <w:rFonts w:eastAsiaTheme="minorEastAsia"/>
          <w:color w:val="000000" w:themeColor="text1"/>
          <w:kern w:val="24"/>
          <w:lang w:eastAsia="en-US"/>
        </w:rPr>
        <w:t xml:space="preserve">se financió </w:t>
      </w:r>
      <w:r w:rsidR="008B5D4E" w:rsidRPr="00177B46">
        <w:rPr>
          <w:rFonts w:eastAsiaTheme="minorEastAsia"/>
          <w:color w:val="000000" w:themeColor="text1"/>
          <w:kern w:val="24"/>
          <w:lang w:eastAsia="en-US"/>
        </w:rPr>
        <w:t xml:space="preserve">mediante </w:t>
      </w:r>
      <w:r w:rsidR="008B5D4E">
        <w:rPr>
          <w:rFonts w:eastAsiaTheme="minorEastAsia"/>
          <w:color w:val="000000" w:themeColor="text1"/>
          <w:kern w:val="24"/>
          <w:lang w:eastAsia="en-US"/>
        </w:rPr>
        <w:t>hipoteca, frente a un 43</w:t>
      </w:r>
      <w:r w:rsidR="008B5D4E" w:rsidRPr="00177B46">
        <w:rPr>
          <w:rFonts w:eastAsiaTheme="minorEastAsia"/>
          <w:color w:val="000000" w:themeColor="text1"/>
          <w:kern w:val="24"/>
          <w:lang w:eastAsia="en-US"/>
        </w:rPr>
        <w:t>%</w:t>
      </w:r>
      <w:r w:rsidR="008B5D4E">
        <w:rPr>
          <w:rFonts w:eastAsiaTheme="minorEastAsia"/>
          <w:color w:val="000000" w:themeColor="text1"/>
          <w:kern w:val="24"/>
          <w:lang w:eastAsia="en-US"/>
        </w:rPr>
        <w:t xml:space="preserve"> de media nacional.</w:t>
      </w:r>
    </w:p>
    <w:p w:rsidR="00844B90" w:rsidRPr="00177B46" w:rsidRDefault="00844B90" w:rsidP="00844B90">
      <w:pPr>
        <w:spacing w:before="120" w:line="273" w:lineRule="auto"/>
        <w:jc w:val="both"/>
        <w:rPr>
          <w:rFonts w:eastAsiaTheme="minorEastAsia"/>
          <w:color w:val="000000" w:themeColor="text1"/>
          <w:kern w:val="24"/>
          <w:lang w:eastAsia="en-US"/>
        </w:rPr>
      </w:pPr>
      <w:r w:rsidRPr="00177B46">
        <w:rPr>
          <w:rFonts w:eastAsiaTheme="minorEastAsia"/>
          <w:color w:val="000000" w:themeColor="text1"/>
          <w:kern w:val="24"/>
          <w:lang w:eastAsia="en-US"/>
        </w:rPr>
        <w:t>Además, en este tipo de compras con financiación,</w:t>
      </w:r>
      <w:r>
        <w:rPr>
          <w:rFonts w:eastAsiaTheme="minorEastAsia"/>
          <w:color w:val="000000" w:themeColor="text1"/>
          <w:kern w:val="24"/>
          <w:lang w:eastAsia="en-US"/>
        </w:rPr>
        <w:t xml:space="preserve"> la cuantía del préstamo supuso en </w:t>
      </w:r>
      <w:proofErr w:type="spellStart"/>
      <w:r>
        <w:rPr>
          <w:rFonts w:eastAsiaTheme="minorEastAsia"/>
          <w:color w:val="000000" w:themeColor="text1"/>
          <w:kern w:val="24"/>
          <w:lang w:eastAsia="en-US"/>
        </w:rPr>
        <w:t>CyL</w:t>
      </w:r>
      <w:proofErr w:type="spellEnd"/>
      <w:r>
        <w:rPr>
          <w:rFonts w:eastAsiaTheme="minorEastAsia"/>
          <w:color w:val="000000" w:themeColor="text1"/>
          <w:kern w:val="24"/>
          <w:lang w:eastAsia="en-US"/>
        </w:rPr>
        <w:t xml:space="preserve"> un media el 7</w:t>
      </w:r>
      <w:r w:rsidR="008B5D4E">
        <w:rPr>
          <w:rFonts w:eastAsiaTheme="minorEastAsia"/>
          <w:color w:val="000000" w:themeColor="text1"/>
          <w:kern w:val="24"/>
          <w:lang w:eastAsia="en-US"/>
        </w:rPr>
        <w:t>5,3</w:t>
      </w:r>
      <w:r w:rsidRPr="00177B46">
        <w:rPr>
          <w:rFonts w:eastAsiaTheme="minorEastAsia"/>
          <w:color w:val="000000" w:themeColor="text1"/>
          <w:kern w:val="24"/>
          <w:lang w:eastAsia="en-US"/>
        </w:rPr>
        <w:t>% del precio</w:t>
      </w:r>
      <w:r>
        <w:rPr>
          <w:rFonts w:eastAsiaTheme="minorEastAsia"/>
          <w:color w:val="000000" w:themeColor="text1"/>
          <w:kern w:val="24"/>
          <w:lang w:eastAsia="en-US"/>
        </w:rPr>
        <w:t xml:space="preserve"> total del inmueble</w:t>
      </w:r>
      <w:r w:rsidRPr="00177B46">
        <w:rPr>
          <w:rFonts w:eastAsiaTheme="minorEastAsia"/>
          <w:color w:val="000000" w:themeColor="text1"/>
          <w:kern w:val="24"/>
          <w:lang w:eastAsia="en-US"/>
        </w:rPr>
        <w:t>.</w:t>
      </w:r>
    </w:p>
    <w:p w:rsidR="00CB792C" w:rsidRPr="00EA644E" w:rsidRDefault="00CB792C" w:rsidP="00CB792C">
      <w:pPr>
        <w:spacing w:before="120" w:line="273" w:lineRule="auto"/>
        <w:jc w:val="both"/>
        <w:rPr>
          <w:rFonts w:eastAsia="+mn-ea"/>
          <w:color w:val="000000"/>
          <w:kern w:val="24"/>
          <w:lang w:eastAsia="es-MX"/>
        </w:rPr>
      </w:pPr>
      <w:r w:rsidRPr="00CB792C">
        <w:rPr>
          <w:rFonts w:eastAsia="+mn-ea"/>
          <w:color w:val="000000"/>
          <w:kern w:val="24"/>
          <w:lang w:eastAsia="es-MX"/>
        </w:rPr>
        <w:t xml:space="preserve">Los préstamos hipotecarios </w:t>
      </w:r>
      <w:r w:rsidR="0027674F">
        <w:rPr>
          <w:rFonts w:eastAsia="+mn-ea"/>
          <w:color w:val="000000"/>
          <w:kern w:val="24"/>
          <w:lang w:eastAsia="es-MX"/>
        </w:rPr>
        <w:t>no registraron subidas en ninguna</w:t>
      </w:r>
      <w:r w:rsidRPr="00CB792C">
        <w:rPr>
          <w:rFonts w:eastAsia="+mn-ea"/>
          <w:color w:val="000000"/>
          <w:kern w:val="24"/>
          <w:lang w:eastAsia="es-MX"/>
        </w:rPr>
        <w:t xml:space="preserve"> </w:t>
      </w:r>
      <w:r w:rsidR="00EA644E">
        <w:rPr>
          <w:rFonts w:eastAsia="+mn-ea"/>
          <w:color w:val="000000"/>
          <w:kern w:val="24"/>
          <w:lang w:eastAsia="es-MX"/>
        </w:rPr>
        <w:t>comunidad autónoma</w:t>
      </w:r>
      <w:r w:rsidR="00987E3C">
        <w:rPr>
          <w:rFonts w:eastAsia="+mn-ea"/>
          <w:color w:val="000000"/>
          <w:kern w:val="24"/>
          <w:lang w:eastAsia="es-MX"/>
        </w:rPr>
        <w:t xml:space="preserve">: </w:t>
      </w:r>
      <w:r w:rsidR="00573FEC" w:rsidRPr="00CB792C">
        <w:rPr>
          <w:rFonts w:eastAsia="+mn-ea" w:cs="+mn-cs"/>
          <w:color w:val="000000"/>
          <w:kern w:val="24"/>
          <w:lang w:val="es-MX" w:eastAsia="es-MX"/>
        </w:rPr>
        <w:t>Asturias (</w:t>
      </w:r>
      <w:r w:rsidR="00C64448">
        <w:rPr>
          <w:rFonts w:eastAsia="+mn-ea" w:cs="+mn-cs"/>
          <w:color w:val="000000"/>
          <w:kern w:val="24"/>
          <w:lang w:val="es-MX" w:eastAsia="es-MX"/>
        </w:rPr>
        <w:noBreakHyphen/>
      </w:r>
      <w:r w:rsidR="00573FEC" w:rsidRPr="00CB792C">
        <w:rPr>
          <w:rFonts w:eastAsia="+mn-ea" w:cs="+mn-cs"/>
          <w:color w:val="000000"/>
          <w:kern w:val="24"/>
          <w:lang w:val="es-MX" w:eastAsia="es-MX"/>
        </w:rPr>
        <w:t>11,3%)</w:t>
      </w:r>
      <w:r w:rsidR="00573FEC">
        <w:rPr>
          <w:rFonts w:eastAsia="+mn-ea" w:cs="+mn-cs"/>
          <w:color w:val="000000"/>
          <w:kern w:val="24"/>
          <w:lang w:val="es-MX" w:eastAsia="es-MX"/>
        </w:rPr>
        <w:t>,</w:t>
      </w:r>
      <w:r w:rsidR="00573FEC" w:rsidRPr="00573FEC">
        <w:rPr>
          <w:rFonts w:eastAsia="+mn-ea" w:cs="+mn-cs"/>
          <w:color w:val="000000"/>
          <w:kern w:val="24"/>
          <w:lang w:val="es-MX" w:eastAsia="es-MX"/>
        </w:rPr>
        <w:t xml:space="preserve"> </w:t>
      </w:r>
      <w:r w:rsidR="00573FEC" w:rsidRPr="00CB792C">
        <w:rPr>
          <w:rFonts w:eastAsia="+mn-ea" w:cs="+mn-cs"/>
          <w:color w:val="000000"/>
          <w:kern w:val="24"/>
          <w:lang w:val="es-MX" w:eastAsia="es-MX"/>
        </w:rPr>
        <w:t>el País Vasco (-19,0%)</w:t>
      </w:r>
      <w:r w:rsidR="00573FEC">
        <w:rPr>
          <w:rFonts w:eastAsia="+mn-ea" w:cs="+mn-cs"/>
          <w:color w:val="000000"/>
          <w:kern w:val="24"/>
          <w:lang w:val="es-MX" w:eastAsia="es-MX"/>
        </w:rPr>
        <w:t>,</w:t>
      </w:r>
      <w:r w:rsidR="00573FEC" w:rsidRPr="00573FEC">
        <w:rPr>
          <w:rFonts w:eastAsia="+mn-ea" w:cs="+mn-cs"/>
          <w:color w:val="000000"/>
          <w:kern w:val="24"/>
          <w:lang w:val="es-MX" w:eastAsia="es-MX"/>
        </w:rPr>
        <w:t xml:space="preserve"> </w:t>
      </w:r>
      <w:r w:rsidR="00573FEC" w:rsidRPr="00CB792C">
        <w:rPr>
          <w:rFonts w:eastAsia="+mn-ea" w:cs="+mn-cs"/>
          <w:color w:val="000000"/>
          <w:kern w:val="24"/>
          <w:lang w:val="es-MX" w:eastAsia="es-MX"/>
        </w:rPr>
        <w:t>Galicia (-21,4%), Castilla y León (-21,9%), Castilla-La Mancha (-22,2%), Canarias (-22,6%), Murcia (-23,9%), Extremadura (</w:t>
      </w:r>
      <w:r w:rsidR="00C6544C">
        <w:rPr>
          <w:rFonts w:eastAsiaTheme="minorEastAsia"/>
          <w:i/>
          <w:iCs/>
          <w:color w:val="000000" w:themeColor="text1"/>
          <w:kern w:val="24"/>
          <w:lang w:eastAsia="en-US"/>
        </w:rPr>
        <w:noBreakHyphen/>
      </w:r>
      <w:r w:rsidR="00573FEC" w:rsidRPr="00CB792C">
        <w:rPr>
          <w:rFonts w:eastAsia="+mn-ea" w:cs="+mn-cs"/>
          <w:color w:val="000000"/>
          <w:kern w:val="24"/>
          <w:lang w:val="es-MX" w:eastAsia="es-MX"/>
        </w:rPr>
        <w:t>24,2%)</w:t>
      </w:r>
      <w:r w:rsidR="00EA644E">
        <w:rPr>
          <w:rFonts w:eastAsia="+mn-ea" w:cs="+mn-cs"/>
          <w:color w:val="000000"/>
          <w:kern w:val="24"/>
          <w:lang w:val="es-MX" w:eastAsia="es-MX"/>
        </w:rPr>
        <w:t xml:space="preserve">, </w:t>
      </w:r>
      <w:r w:rsidR="00573FEC" w:rsidRPr="00CB792C">
        <w:rPr>
          <w:rFonts w:eastAsia="+mn-ea" w:cs="+mn-cs"/>
          <w:color w:val="000000"/>
          <w:kern w:val="24"/>
          <w:lang w:val="es-MX" w:eastAsia="es-MX"/>
        </w:rPr>
        <w:t>Aragón (-24,9%)</w:t>
      </w:r>
      <w:r w:rsidR="00EA644E">
        <w:rPr>
          <w:rFonts w:eastAsia="+mn-ea" w:cs="+mn-cs"/>
          <w:color w:val="000000"/>
          <w:kern w:val="24"/>
          <w:lang w:val="es-MX" w:eastAsia="es-MX"/>
        </w:rPr>
        <w:t xml:space="preserve">, </w:t>
      </w:r>
      <w:r w:rsidR="00EA644E" w:rsidRPr="00CB792C">
        <w:rPr>
          <w:rFonts w:eastAsia="+mn-ea" w:cs="+mn-cs"/>
          <w:color w:val="000000"/>
          <w:kern w:val="24"/>
          <w:lang w:val="es-MX" w:eastAsia="es-MX"/>
        </w:rPr>
        <w:t>Andalucía (-26,5%)</w:t>
      </w:r>
      <w:r w:rsidR="00EA644E">
        <w:rPr>
          <w:rFonts w:eastAsia="+mn-ea"/>
          <w:color w:val="000000"/>
          <w:kern w:val="24"/>
          <w:lang w:eastAsia="es-MX"/>
        </w:rPr>
        <w:t xml:space="preserve">, </w:t>
      </w:r>
      <w:r w:rsidR="00EA644E" w:rsidRPr="00CB792C">
        <w:rPr>
          <w:rFonts w:eastAsia="+mn-ea" w:cs="+mn-cs"/>
          <w:color w:val="000000"/>
          <w:kern w:val="24"/>
          <w:lang w:val="es-MX" w:eastAsia="es-MX"/>
        </w:rPr>
        <w:t>Madrid (-27,1%)</w:t>
      </w:r>
      <w:r w:rsidR="00EA644E">
        <w:rPr>
          <w:rFonts w:eastAsia="+mn-ea" w:cs="+mn-cs"/>
          <w:color w:val="000000"/>
          <w:kern w:val="24"/>
          <w:lang w:val="es-MX" w:eastAsia="es-MX"/>
        </w:rPr>
        <w:t xml:space="preserve">, La </w:t>
      </w:r>
      <w:r w:rsidR="00EA644E" w:rsidRPr="00CB792C">
        <w:rPr>
          <w:rFonts w:eastAsia="+mn-ea" w:cs="+mn-cs"/>
          <w:color w:val="000000"/>
          <w:kern w:val="24"/>
          <w:lang w:val="es-MX" w:eastAsia="es-MX"/>
        </w:rPr>
        <w:t>Rioja (-27,4%), Cataluña (-27,6%), Comunidad Valenciana (-28,3%),</w:t>
      </w:r>
      <w:r w:rsidR="00EA644E">
        <w:rPr>
          <w:rFonts w:eastAsia="+mn-ea" w:cs="+mn-cs"/>
          <w:color w:val="000000"/>
          <w:kern w:val="24"/>
          <w:lang w:val="es-MX" w:eastAsia="es-MX"/>
        </w:rPr>
        <w:t xml:space="preserve"> </w:t>
      </w:r>
      <w:r w:rsidR="00EA644E" w:rsidRPr="00CB792C">
        <w:rPr>
          <w:rFonts w:eastAsia="+mn-ea" w:cs="+mn-cs"/>
          <w:color w:val="000000"/>
          <w:kern w:val="24"/>
          <w:lang w:val="es-MX" w:eastAsia="es-MX"/>
        </w:rPr>
        <w:t>Baleares (</w:t>
      </w:r>
      <w:r w:rsidR="00EA644E">
        <w:rPr>
          <w:rFonts w:eastAsiaTheme="minorEastAsia"/>
          <w:i/>
          <w:iCs/>
          <w:color w:val="000000" w:themeColor="text1"/>
          <w:kern w:val="24"/>
          <w:lang w:eastAsia="en-US"/>
        </w:rPr>
        <w:noBreakHyphen/>
      </w:r>
      <w:r w:rsidR="00EA644E" w:rsidRPr="00CB792C">
        <w:rPr>
          <w:rFonts w:eastAsia="+mn-ea" w:cs="+mn-cs"/>
          <w:color w:val="000000"/>
          <w:kern w:val="24"/>
          <w:lang w:val="es-MX" w:eastAsia="es-MX"/>
        </w:rPr>
        <w:t xml:space="preserve">28,7%), </w:t>
      </w:r>
      <w:r w:rsidR="00EA644E">
        <w:rPr>
          <w:rFonts w:eastAsia="+mn-ea" w:cs="+mn-cs"/>
          <w:color w:val="000000"/>
          <w:kern w:val="24"/>
          <w:lang w:val="es-MX" w:eastAsia="es-MX"/>
        </w:rPr>
        <w:t>Navarra (-30,2%)y Cantabria.</w:t>
      </w:r>
    </w:p>
    <w:p w:rsidR="00CB792C" w:rsidRPr="008A405B" w:rsidRDefault="00CB792C" w:rsidP="00CB792C">
      <w:pPr>
        <w:spacing w:before="120" w:line="273" w:lineRule="auto"/>
        <w:jc w:val="both"/>
        <w:rPr>
          <w:rFonts w:ascii="Times New Roman" w:eastAsia="Times New Roman" w:hAnsi="Times New Roman" w:cs="Times New Roman"/>
          <w:sz w:val="24"/>
          <w:szCs w:val="24"/>
          <w:lang w:val="es-MX" w:eastAsia="es-MX"/>
        </w:rPr>
      </w:pPr>
      <w:r w:rsidRPr="00CB792C">
        <w:rPr>
          <w:rFonts w:eastAsia="+mn-ea"/>
          <w:color w:val="000000"/>
          <w:kern w:val="24"/>
          <w:lang w:eastAsia="es-MX"/>
        </w:rPr>
        <w:t>En cuanto a la cuantía promedio de</w:t>
      </w:r>
      <w:r w:rsidR="00EA644E">
        <w:rPr>
          <w:rFonts w:eastAsia="+mn-ea"/>
          <w:color w:val="000000"/>
          <w:kern w:val="24"/>
          <w:lang w:eastAsia="es-MX"/>
        </w:rPr>
        <w:t xml:space="preserve"> estas </w:t>
      </w:r>
      <w:r w:rsidRPr="00CB792C">
        <w:rPr>
          <w:rFonts w:eastAsia="+mn-ea"/>
          <w:color w:val="000000"/>
          <w:kern w:val="24"/>
          <w:lang w:eastAsia="es-MX"/>
        </w:rPr>
        <w:t xml:space="preserve">hipotecas, la evolución siguió siendo dispar, pues creció en </w:t>
      </w:r>
      <w:r w:rsidRPr="00CB792C">
        <w:rPr>
          <w:rFonts w:eastAsia="+mn-ea" w:cs="+mn-cs"/>
          <w:color w:val="000000"/>
          <w:kern w:val="24"/>
          <w:lang w:eastAsia="es-MX"/>
        </w:rPr>
        <w:t>cuatro</w:t>
      </w:r>
      <w:r w:rsidRPr="00CB792C">
        <w:rPr>
          <w:rFonts w:eastAsia="+mn-ea"/>
          <w:color w:val="000000"/>
          <w:kern w:val="24"/>
          <w:lang w:eastAsia="es-MX"/>
        </w:rPr>
        <w:t xml:space="preserve"> y decreció en </w:t>
      </w:r>
      <w:r w:rsidR="00EA644E">
        <w:rPr>
          <w:rFonts w:eastAsia="+mn-ea"/>
          <w:color w:val="000000"/>
          <w:kern w:val="24"/>
          <w:lang w:eastAsia="es-MX"/>
        </w:rPr>
        <w:t>13 comunidades</w:t>
      </w:r>
      <w:r w:rsidRPr="00CB792C">
        <w:rPr>
          <w:rFonts w:eastAsia="+mn-ea"/>
          <w:color w:val="000000"/>
          <w:kern w:val="24"/>
          <w:lang w:eastAsia="es-MX"/>
        </w:rPr>
        <w:t xml:space="preserve">. </w:t>
      </w:r>
    </w:p>
    <w:p w:rsidR="00CB792C" w:rsidRPr="00CB792C" w:rsidRDefault="00CB792C" w:rsidP="00CB792C">
      <w:pPr>
        <w:spacing w:before="150" w:line="216" w:lineRule="auto"/>
        <w:jc w:val="both"/>
        <w:rPr>
          <w:rFonts w:ascii="Times New Roman" w:eastAsia="Times New Roman" w:hAnsi="Times New Roman" w:cs="Times New Roman"/>
          <w:sz w:val="24"/>
          <w:szCs w:val="24"/>
          <w:lang w:val="es-MX" w:eastAsia="es-MX"/>
        </w:rPr>
      </w:pPr>
      <w:r w:rsidRPr="00CB792C">
        <w:rPr>
          <w:rFonts w:eastAsia="+mn-ea" w:cs="+mn-cs"/>
          <w:color w:val="000000"/>
          <w:kern w:val="24"/>
          <w:u w:val="single"/>
          <w:lang w:eastAsia="es-MX"/>
        </w:rPr>
        <w:t>Incremento</w:t>
      </w:r>
      <w:r w:rsidRPr="00CB792C">
        <w:rPr>
          <w:rFonts w:eastAsia="+mn-ea"/>
          <w:color w:val="000000"/>
          <w:kern w:val="24"/>
          <w:u w:val="single"/>
          <w:lang w:eastAsia="es-MX"/>
        </w:rPr>
        <w:t xml:space="preserve"> de la constitución de sociedades</w:t>
      </w:r>
    </w:p>
    <w:p w:rsidR="00CB792C" w:rsidRPr="00CB792C" w:rsidRDefault="00CB792C" w:rsidP="00CB792C">
      <w:pPr>
        <w:spacing w:before="120" w:line="273" w:lineRule="auto"/>
        <w:jc w:val="both"/>
        <w:rPr>
          <w:rFonts w:ascii="Times New Roman" w:eastAsia="Times New Roman" w:hAnsi="Times New Roman" w:cs="Times New Roman"/>
          <w:sz w:val="24"/>
          <w:szCs w:val="24"/>
          <w:lang w:val="es-MX" w:eastAsia="es-MX"/>
        </w:rPr>
      </w:pPr>
      <w:r w:rsidRPr="00CB792C">
        <w:rPr>
          <w:rFonts w:eastAsia="+mn-ea"/>
          <w:color w:val="000000"/>
          <w:kern w:val="24"/>
          <w:lang w:eastAsia="es-MX"/>
        </w:rPr>
        <w:t xml:space="preserve">Los datos del Centro de Información Estadística del Notariado también revelan que en </w:t>
      </w:r>
      <w:r w:rsidRPr="00CB792C">
        <w:rPr>
          <w:rFonts w:eastAsia="+mn-ea" w:cs="+mn-cs"/>
          <w:color w:val="000000"/>
          <w:kern w:val="24"/>
          <w:lang w:eastAsia="es-MX"/>
        </w:rPr>
        <w:t>junio</w:t>
      </w:r>
      <w:r w:rsidRPr="00CB792C">
        <w:rPr>
          <w:rFonts w:eastAsia="+mn-ea"/>
          <w:color w:val="000000"/>
          <w:kern w:val="24"/>
          <w:lang w:eastAsia="es-MX"/>
        </w:rPr>
        <w:t xml:space="preserve"> de </w:t>
      </w:r>
      <w:r w:rsidRPr="00CB792C">
        <w:rPr>
          <w:rFonts w:eastAsia="+mn-ea" w:cs="+mn-cs"/>
          <w:color w:val="000000"/>
          <w:kern w:val="24"/>
          <w:lang w:eastAsia="es-MX"/>
        </w:rPr>
        <w:t>2023</w:t>
      </w:r>
      <w:r w:rsidRPr="00CB792C">
        <w:rPr>
          <w:rFonts w:eastAsia="+mn-ea"/>
          <w:color w:val="000000"/>
          <w:kern w:val="24"/>
          <w:lang w:eastAsia="es-MX"/>
        </w:rPr>
        <w:t xml:space="preserve"> la constitución de sociedades </w:t>
      </w:r>
      <w:r w:rsidRPr="00CB792C">
        <w:rPr>
          <w:rFonts w:eastAsia="+mn-ea" w:cs="+mn-cs"/>
          <w:color w:val="000000"/>
          <w:kern w:val="24"/>
          <w:lang w:eastAsia="es-MX"/>
        </w:rPr>
        <w:t>aumentó</w:t>
      </w:r>
      <w:r w:rsidRPr="00CB792C">
        <w:rPr>
          <w:rFonts w:eastAsia="+mn-ea"/>
          <w:color w:val="000000"/>
          <w:kern w:val="24"/>
          <w:lang w:eastAsia="es-MX"/>
        </w:rPr>
        <w:t xml:space="preserve"> un </w:t>
      </w:r>
      <w:r w:rsidRPr="00CB792C">
        <w:rPr>
          <w:rFonts w:eastAsia="+mn-ea" w:cs="+mn-cs"/>
          <w:color w:val="000000"/>
          <w:kern w:val="24"/>
          <w:lang w:eastAsia="es-MX"/>
        </w:rPr>
        <w:t>16,2%</w:t>
      </w:r>
      <w:r w:rsidRPr="00CB792C">
        <w:rPr>
          <w:rFonts w:eastAsia="+mn-ea"/>
          <w:color w:val="000000"/>
          <w:kern w:val="24"/>
          <w:lang w:eastAsia="es-MX"/>
        </w:rPr>
        <w:t xml:space="preserve"> interanual</w:t>
      </w:r>
      <w:r w:rsidR="00EA644E">
        <w:rPr>
          <w:rFonts w:eastAsia="+mn-ea"/>
          <w:color w:val="000000"/>
          <w:kern w:val="24"/>
          <w:lang w:eastAsia="es-MX"/>
        </w:rPr>
        <w:t xml:space="preserve"> en el conjunto de España. Este dato que contrasta con el descenso del 8,3% registrado en Castilla y León, donde en junio se crearon 240</w:t>
      </w:r>
      <w:r w:rsidRPr="00CB792C">
        <w:rPr>
          <w:rFonts w:eastAsia="+mn-ea"/>
          <w:color w:val="000000"/>
          <w:kern w:val="24"/>
          <w:lang w:eastAsia="es-MX"/>
        </w:rPr>
        <w:t xml:space="preserve"> nuevas sociedades. </w:t>
      </w:r>
    </w:p>
    <w:p w:rsidR="00CB792C" w:rsidRDefault="00CB792C" w:rsidP="00CB792C">
      <w:pPr>
        <w:spacing w:before="120" w:line="273" w:lineRule="auto"/>
        <w:jc w:val="both"/>
        <w:rPr>
          <w:rFonts w:eastAsia="+mn-ea"/>
          <w:color w:val="000000"/>
          <w:kern w:val="24"/>
          <w:lang w:eastAsia="es-MX"/>
        </w:rPr>
      </w:pPr>
      <w:r w:rsidRPr="00CB792C">
        <w:rPr>
          <w:rFonts w:eastAsia="+mn-ea"/>
          <w:color w:val="000000"/>
          <w:kern w:val="24"/>
          <w:lang w:eastAsia="es-MX"/>
        </w:rPr>
        <w:t xml:space="preserve">La creación de nuevas sociedades aumentó en </w:t>
      </w:r>
      <w:r w:rsidRPr="00CB792C">
        <w:rPr>
          <w:rFonts w:eastAsia="+mn-ea" w:cs="+mn-cs"/>
          <w:color w:val="000000"/>
          <w:kern w:val="24"/>
          <w:lang w:eastAsia="es-MX"/>
        </w:rPr>
        <w:t>once</w:t>
      </w:r>
      <w:r w:rsidRPr="00CB792C">
        <w:rPr>
          <w:rFonts w:eastAsia="+mn-ea"/>
          <w:color w:val="000000"/>
          <w:kern w:val="24"/>
          <w:lang w:eastAsia="es-MX"/>
        </w:rPr>
        <w:t xml:space="preserve"> autonomías, destacando las alzas en </w:t>
      </w:r>
      <w:r w:rsidRPr="00CB792C">
        <w:rPr>
          <w:rFonts w:eastAsia="+mn-ea" w:cs="+mn-cs"/>
          <w:color w:val="000000"/>
          <w:kern w:val="24"/>
          <w:lang w:val="es-MX" w:eastAsia="es-MX"/>
        </w:rPr>
        <w:t>Aragón (42,8%), Galicia (35,9%) y Cataluña (32,5%)</w:t>
      </w:r>
      <w:r w:rsidRPr="00CB792C">
        <w:rPr>
          <w:rFonts w:eastAsia="+mn-ea"/>
          <w:color w:val="000000"/>
          <w:kern w:val="24"/>
          <w:lang w:eastAsia="es-MX"/>
        </w:rPr>
        <w:t xml:space="preserve">. En cambio, disminuyó en </w:t>
      </w:r>
      <w:r w:rsidR="00EA644E">
        <w:rPr>
          <w:rFonts w:eastAsia="+mn-ea"/>
          <w:color w:val="000000"/>
          <w:kern w:val="24"/>
          <w:lang w:eastAsia="es-MX"/>
        </w:rPr>
        <w:t>otras</w:t>
      </w:r>
      <w:r w:rsidRPr="00CB792C">
        <w:rPr>
          <w:rFonts w:eastAsia="+mn-ea"/>
          <w:color w:val="000000"/>
          <w:kern w:val="24"/>
          <w:lang w:eastAsia="es-MX"/>
        </w:rPr>
        <w:t xml:space="preserve"> </w:t>
      </w:r>
      <w:r w:rsidRPr="00CB792C">
        <w:rPr>
          <w:rFonts w:eastAsia="+mn-ea" w:cs="+mn-cs"/>
          <w:color w:val="000000"/>
          <w:kern w:val="24"/>
          <w:lang w:eastAsia="es-MX"/>
        </w:rPr>
        <w:t>seis</w:t>
      </w:r>
      <w:r w:rsidR="00EA644E">
        <w:rPr>
          <w:rFonts w:eastAsia="+mn-ea"/>
          <w:color w:val="000000"/>
          <w:kern w:val="24"/>
          <w:lang w:eastAsia="es-MX"/>
        </w:rPr>
        <w:t xml:space="preserve">, </w:t>
      </w:r>
      <w:r w:rsidRPr="00CB792C">
        <w:rPr>
          <w:rFonts w:eastAsia="+mn-ea"/>
          <w:color w:val="000000"/>
          <w:kern w:val="24"/>
          <w:lang w:eastAsia="es-MX"/>
        </w:rPr>
        <w:t xml:space="preserve">destacando las caídas en </w:t>
      </w:r>
      <w:r w:rsidRPr="00CB792C">
        <w:rPr>
          <w:rFonts w:eastAsia="+mn-ea" w:cs="+mn-cs"/>
          <w:color w:val="000000"/>
          <w:kern w:val="24"/>
          <w:lang w:val="es-MX" w:eastAsia="es-MX"/>
        </w:rPr>
        <w:t>Asturias (-16,8%), Cantabria (-15,4%) y el País Vasco (-10,0%)</w:t>
      </w:r>
      <w:r w:rsidRPr="00CB792C">
        <w:rPr>
          <w:rFonts w:eastAsia="+mn-ea"/>
          <w:color w:val="000000"/>
          <w:kern w:val="24"/>
          <w:lang w:eastAsia="es-MX"/>
        </w:rPr>
        <w:t>.</w:t>
      </w:r>
    </w:p>
    <w:p w:rsidR="00CB792C" w:rsidRDefault="00CB792C" w:rsidP="00CB792C">
      <w:pPr>
        <w:spacing w:before="120" w:line="273" w:lineRule="auto"/>
        <w:jc w:val="both"/>
        <w:rPr>
          <w:rFonts w:ascii="Times New Roman" w:eastAsia="Times New Roman" w:hAnsi="Times New Roman" w:cs="Times New Roman"/>
          <w:sz w:val="24"/>
          <w:szCs w:val="24"/>
          <w:lang w:val="es-MX" w:eastAsia="es-MX"/>
        </w:rPr>
      </w:pPr>
    </w:p>
    <w:p w:rsidR="00EA644E" w:rsidRPr="00CB792C" w:rsidRDefault="00EA644E" w:rsidP="00CB792C">
      <w:pPr>
        <w:spacing w:before="120" w:line="273" w:lineRule="auto"/>
        <w:jc w:val="both"/>
        <w:rPr>
          <w:rFonts w:ascii="Times New Roman" w:eastAsia="Times New Roman" w:hAnsi="Times New Roman" w:cs="Times New Roman"/>
          <w:sz w:val="24"/>
          <w:szCs w:val="24"/>
          <w:lang w:val="es-MX" w:eastAsia="es-MX"/>
        </w:rPr>
      </w:pPr>
    </w:p>
    <w:p w:rsidR="00CB792C" w:rsidRPr="00EA644E" w:rsidRDefault="00CB792C" w:rsidP="00CB792C">
      <w:pPr>
        <w:rPr>
          <w:rFonts w:eastAsia="+mn-ea"/>
          <w:i/>
          <w:color w:val="000000"/>
          <w:kern w:val="24"/>
          <w:lang w:eastAsia="es-MX"/>
        </w:rPr>
      </w:pPr>
      <w:r w:rsidRPr="00EA644E">
        <w:rPr>
          <w:rFonts w:eastAsia="+mn-ea"/>
          <w:i/>
          <w:color w:val="000000"/>
          <w:kern w:val="24"/>
          <w:lang w:eastAsia="es-MX"/>
        </w:rPr>
        <w:t>Los datos de los últimos tres meses de las series de esta nota son provisionales hasta disponer del 100% de la información con que se elaboran estos informes.</w:t>
      </w:r>
    </w:p>
    <w:p w:rsidR="00CB792C" w:rsidRDefault="00CB792C" w:rsidP="00CB792C">
      <w:pPr>
        <w:rPr>
          <w:rFonts w:eastAsia="+mn-ea"/>
          <w:color w:val="000000"/>
          <w:kern w:val="24"/>
          <w:lang w:eastAsia="es-MX"/>
        </w:rPr>
      </w:pPr>
    </w:p>
    <w:p w:rsidR="00CB792C" w:rsidRDefault="00CB792C" w:rsidP="00CB792C">
      <w:pPr>
        <w:rPr>
          <w:rFonts w:eastAsia="+mn-ea"/>
          <w:color w:val="000000"/>
          <w:kern w:val="24"/>
          <w:lang w:eastAsia="es-MX"/>
        </w:rPr>
      </w:pPr>
    </w:p>
    <w:p w:rsidR="00515196" w:rsidRDefault="00515196" w:rsidP="00CB792C">
      <w:pPr>
        <w:rPr>
          <w:b/>
          <w:sz w:val="20"/>
          <w:szCs w:val="20"/>
        </w:rPr>
      </w:pPr>
    </w:p>
    <w:p w:rsidR="00BA2CF7" w:rsidRDefault="00BA2CF7">
      <w:pPr>
        <w:rPr>
          <w:b/>
          <w:sz w:val="20"/>
          <w:szCs w:val="20"/>
        </w:rPr>
      </w:pPr>
    </w:p>
    <w:p w:rsidR="00515196" w:rsidRDefault="00515196" w:rsidP="00EB4B46">
      <w:pPr>
        <w:jc w:val="both"/>
        <w:sectPr w:rsidR="00515196" w:rsidSect="00BE2880">
          <w:headerReference w:type="default" r:id="rId11"/>
          <w:footerReference w:type="default" r:id="rId12"/>
          <w:pgSz w:w="11906" w:h="16838"/>
          <w:pgMar w:top="2127" w:right="1701" w:bottom="1560" w:left="1701" w:header="708" w:footer="710" w:gutter="0"/>
          <w:cols w:space="708"/>
          <w:docGrid w:linePitch="360"/>
        </w:sectPr>
      </w:pPr>
    </w:p>
    <w:p w:rsidR="0013255A" w:rsidRDefault="008A7D01" w:rsidP="00075272">
      <w:pPr>
        <w:ind w:left="-1080"/>
        <w:jc w:val="both"/>
        <w:rPr>
          <w:sz w:val="20"/>
          <w:szCs w:val="20"/>
        </w:rPr>
        <w:sectPr w:rsidR="0013255A" w:rsidSect="009A27D5">
          <w:headerReference w:type="default" r:id="rId13"/>
          <w:footerReference w:type="default" r:id="rId14"/>
          <w:pgSz w:w="16838" w:h="11906" w:orient="landscape"/>
          <w:pgMar w:top="1701" w:right="1560" w:bottom="1701" w:left="2127" w:header="708" w:footer="475" w:gutter="0"/>
          <w:cols w:space="708"/>
          <w:docGrid w:linePitch="360"/>
        </w:sectPr>
      </w:pPr>
      <w:r w:rsidRPr="008A7D01">
        <w:rPr>
          <w:noProof/>
        </w:rPr>
        <w:lastRenderedPageBreak/>
        <w:drawing>
          <wp:anchor distT="0" distB="0" distL="114300" distR="114300" simplePos="0" relativeHeight="251658242" behindDoc="0" locked="0" layoutInCell="1" allowOverlap="1">
            <wp:simplePos x="0" y="0"/>
            <wp:positionH relativeFrom="column">
              <wp:posOffset>-1071880</wp:posOffset>
            </wp:positionH>
            <wp:positionV relativeFrom="paragraph">
              <wp:posOffset>135255</wp:posOffset>
            </wp:positionV>
            <wp:extent cx="10098405" cy="5081270"/>
            <wp:effectExtent l="0" t="0" r="0" b="508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8405" cy="5081270"/>
                    </a:xfrm>
                    <a:prstGeom prst="rect">
                      <a:avLst/>
                    </a:prstGeom>
                    <a:noFill/>
                    <a:ln>
                      <a:noFill/>
                    </a:ln>
                  </pic:spPr>
                </pic:pic>
              </a:graphicData>
            </a:graphic>
          </wp:anchor>
        </w:drawing>
      </w:r>
      <w:r w:rsidR="007C746E" w:rsidRPr="007E4B7D">
        <w:t xml:space="preserve"> </w:t>
      </w:r>
    </w:p>
    <w:p w:rsidR="00780F5E" w:rsidRDefault="00780F5E">
      <w:pPr>
        <w:rPr>
          <w:sz w:val="20"/>
          <w:szCs w:val="20"/>
        </w:rPr>
      </w:pPr>
    </w:p>
    <w:tbl>
      <w:tblPr>
        <w:tblStyle w:val="Tablaconcuadrcula"/>
        <w:tblW w:w="0" w:type="auto"/>
        <w:tblBorders>
          <w:top w:val="single" w:sz="18" w:space="0" w:color="336699"/>
          <w:left w:val="none" w:sz="0" w:space="0" w:color="auto"/>
          <w:bottom w:val="single" w:sz="18" w:space="0" w:color="336699"/>
          <w:right w:val="none" w:sz="0" w:space="0" w:color="auto"/>
          <w:insideH w:val="none" w:sz="0" w:space="0" w:color="auto"/>
          <w:insideV w:val="none" w:sz="0" w:space="0" w:color="auto"/>
        </w:tblBorders>
        <w:tblLook w:val="04A0"/>
      </w:tblPr>
      <w:tblGrid>
        <w:gridCol w:w="8504"/>
      </w:tblGrid>
      <w:tr w:rsidR="002625B5" w:rsidRPr="00724C6E" w:rsidTr="008831B6">
        <w:tc>
          <w:tcPr>
            <w:tcW w:w="8504" w:type="dxa"/>
          </w:tcPr>
          <w:p w:rsidR="002625B5" w:rsidRPr="00827BEE" w:rsidRDefault="0059069B" w:rsidP="0059069B">
            <w:pPr>
              <w:keepNext/>
              <w:widowControl w:val="0"/>
              <w:tabs>
                <w:tab w:val="left" w:pos="1390"/>
                <w:tab w:val="left" w:pos="2400"/>
                <w:tab w:val="center" w:pos="4144"/>
              </w:tabs>
              <w:spacing w:before="60" w:after="60" w:line="240" w:lineRule="atLeast"/>
              <w:rPr>
                <w:rFonts w:ascii="Times New Roman" w:hAnsi="Times New Roman" w:cs="Times New Roman"/>
                <w:b/>
                <w:i/>
                <w:color w:val="336699"/>
                <w:sz w:val="24"/>
                <w:lang w:val="es-ES_tradnl"/>
              </w:rPr>
            </w:pPr>
            <w:r>
              <w:rPr>
                <w:rFonts w:ascii="Times New Roman" w:hAnsi="Times New Roman" w:cs="Times New Roman"/>
                <w:b/>
                <w:i/>
                <w:color w:val="336699"/>
                <w:sz w:val="24"/>
                <w:lang w:val="es-ES_tradnl"/>
              </w:rPr>
              <w:tab/>
            </w:r>
            <w:r w:rsidR="002625B5">
              <w:rPr>
                <w:rFonts w:ascii="Times New Roman" w:hAnsi="Times New Roman" w:cs="Times New Roman"/>
                <w:b/>
                <w:i/>
                <w:color w:val="336699"/>
                <w:sz w:val="24"/>
                <w:lang w:val="es-ES_tradnl"/>
              </w:rPr>
              <w:t xml:space="preserve">Gráficos de evolución del </w:t>
            </w:r>
            <w:r w:rsidR="00FF0180">
              <w:rPr>
                <w:rFonts w:ascii="Times New Roman" w:hAnsi="Times New Roman" w:cs="Times New Roman"/>
                <w:b/>
                <w:i/>
                <w:color w:val="336699"/>
                <w:sz w:val="24"/>
                <w:lang w:val="es-ES_tradnl"/>
              </w:rPr>
              <w:t>mercado inmobiliario</w:t>
            </w:r>
          </w:p>
        </w:tc>
      </w:tr>
    </w:tbl>
    <w:p w:rsidR="008A5319" w:rsidRDefault="00EA1E81" w:rsidP="008A5319">
      <w:pPr>
        <w:spacing w:before="240" w:after="120" w:line="280" w:lineRule="atLeast"/>
        <w:jc w:val="both"/>
        <w:rPr>
          <w:rFonts w:ascii="Times New Roman" w:hAnsi="Times New Roman" w:cs="Times New Roman"/>
          <w:szCs w:val="20"/>
        </w:rPr>
      </w:pPr>
      <w:r w:rsidRPr="00EA1E81">
        <w:rPr>
          <w:noProof/>
        </w:rPr>
        <w:drawing>
          <wp:inline distT="0" distB="0" distL="0" distR="0">
            <wp:extent cx="5400040" cy="74447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7444740"/>
                    </a:xfrm>
                    <a:prstGeom prst="rect">
                      <a:avLst/>
                    </a:prstGeom>
                    <a:noFill/>
                    <a:ln>
                      <a:noFill/>
                    </a:ln>
                  </pic:spPr>
                </pic:pic>
              </a:graphicData>
            </a:graphic>
          </wp:inline>
        </w:drawing>
      </w:r>
    </w:p>
    <w:p w:rsidR="00E05CDD" w:rsidRDefault="00E05CDD" w:rsidP="008A5319">
      <w:pPr>
        <w:spacing w:before="240" w:after="120" w:line="280" w:lineRule="atLeast"/>
        <w:jc w:val="both"/>
        <w:rPr>
          <w:rFonts w:ascii="Times New Roman" w:hAnsi="Times New Roman" w:cs="Times New Roman"/>
          <w:szCs w:val="20"/>
        </w:rPr>
      </w:pPr>
    </w:p>
    <w:p w:rsidR="00E05CDD" w:rsidRDefault="00E05CDD" w:rsidP="008A5319">
      <w:pPr>
        <w:spacing w:before="240" w:after="120" w:line="280" w:lineRule="atLeast"/>
        <w:jc w:val="both"/>
        <w:rPr>
          <w:rFonts w:ascii="Times New Roman" w:hAnsi="Times New Roman" w:cs="Times New Roman"/>
          <w:szCs w:val="20"/>
        </w:rPr>
      </w:pPr>
    </w:p>
    <w:p w:rsidR="002C55DF" w:rsidRDefault="002C55DF" w:rsidP="008A5319">
      <w:pPr>
        <w:spacing w:before="240" w:after="120" w:line="280" w:lineRule="atLeast"/>
        <w:jc w:val="both"/>
        <w:rPr>
          <w:rFonts w:ascii="Times New Roman" w:hAnsi="Times New Roman" w:cs="Times New Roman"/>
          <w:szCs w:val="20"/>
        </w:rPr>
      </w:pPr>
    </w:p>
    <w:p w:rsidR="00AC7FB6" w:rsidRDefault="00AB7C7A" w:rsidP="008A5319">
      <w:pPr>
        <w:spacing w:before="240" w:after="120" w:line="280" w:lineRule="atLeast"/>
        <w:jc w:val="both"/>
        <w:rPr>
          <w:rFonts w:ascii="Times New Roman" w:hAnsi="Times New Roman" w:cs="Times New Roman"/>
          <w:szCs w:val="20"/>
        </w:rPr>
      </w:pPr>
      <w:r w:rsidRPr="00AB7C7A">
        <w:rPr>
          <w:noProof/>
        </w:rPr>
        <w:drawing>
          <wp:inline distT="0" distB="0" distL="0" distR="0">
            <wp:extent cx="5400040" cy="5019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5019675"/>
                    </a:xfrm>
                    <a:prstGeom prst="rect">
                      <a:avLst/>
                    </a:prstGeom>
                    <a:noFill/>
                    <a:ln>
                      <a:noFill/>
                    </a:ln>
                  </pic:spPr>
                </pic:pic>
              </a:graphicData>
            </a:graphic>
          </wp:inline>
        </w:drawing>
      </w:r>
    </w:p>
    <w:p w:rsidR="00236A5C" w:rsidRDefault="00236A5C" w:rsidP="008A5319">
      <w:pPr>
        <w:spacing w:before="240" w:after="120" w:line="280" w:lineRule="atLeast"/>
        <w:jc w:val="both"/>
        <w:rPr>
          <w:rFonts w:ascii="Times New Roman" w:hAnsi="Times New Roman" w:cs="Times New Roman"/>
          <w:szCs w:val="20"/>
        </w:rPr>
      </w:pPr>
    </w:p>
    <w:p w:rsidR="00D8042A" w:rsidRDefault="00D8042A" w:rsidP="008A5319">
      <w:pPr>
        <w:spacing w:before="240" w:after="120" w:line="280" w:lineRule="atLeast"/>
        <w:jc w:val="both"/>
        <w:rPr>
          <w:rFonts w:ascii="Times New Roman" w:hAnsi="Times New Roman" w:cs="Times New Roman"/>
          <w:szCs w:val="20"/>
        </w:rPr>
      </w:pPr>
    </w:p>
    <w:p w:rsidR="008A5319" w:rsidRDefault="008A5319" w:rsidP="008A5319">
      <w:pPr>
        <w:spacing w:before="120" w:after="120" w:line="280" w:lineRule="atLeast"/>
        <w:jc w:val="both"/>
        <w:rPr>
          <w:rFonts w:ascii="Times New Roman" w:hAnsi="Times New Roman" w:cs="Times New Roman"/>
          <w:szCs w:val="20"/>
        </w:rPr>
      </w:pPr>
    </w:p>
    <w:p w:rsidR="008A5319" w:rsidRPr="00B240BD" w:rsidRDefault="008A5319" w:rsidP="008A5319">
      <w:pPr>
        <w:spacing w:before="120" w:after="120" w:line="280" w:lineRule="atLeast"/>
        <w:jc w:val="both"/>
        <w:rPr>
          <w:rFonts w:ascii="Times New Roman" w:hAnsi="Times New Roman" w:cs="Times New Roman"/>
          <w:szCs w:val="20"/>
        </w:rPr>
      </w:pPr>
    </w:p>
    <w:p w:rsidR="008A5319" w:rsidRDefault="008A5319" w:rsidP="008A5319">
      <w:pPr>
        <w:spacing w:before="240" w:after="120" w:line="280" w:lineRule="atLeast"/>
        <w:jc w:val="both"/>
        <w:rPr>
          <w:rFonts w:ascii="Times New Roman" w:hAnsi="Times New Roman" w:cs="Times New Roman"/>
          <w:szCs w:val="20"/>
        </w:rPr>
      </w:pPr>
    </w:p>
    <w:p w:rsidR="008A5319" w:rsidRDefault="008A5319" w:rsidP="008A5319">
      <w:pPr>
        <w:spacing w:before="240" w:after="120" w:line="240" w:lineRule="atLeast"/>
        <w:jc w:val="both"/>
        <w:rPr>
          <w:rFonts w:ascii="Times New Roman" w:hAnsi="Times New Roman" w:cs="Times New Roman"/>
          <w:szCs w:val="20"/>
        </w:rPr>
      </w:pPr>
    </w:p>
    <w:p w:rsidR="00433CD5" w:rsidRDefault="00433CD5" w:rsidP="00433CD5">
      <w:pPr>
        <w:rPr>
          <w:sz w:val="20"/>
          <w:szCs w:val="20"/>
        </w:rPr>
      </w:pPr>
    </w:p>
    <w:p w:rsidR="0059069B" w:rsidRDefault="0059069B">
      <w:r>
        <w:br w:type="page"/>
      </w:r>
    </w:p>
    <w:tbl>
      <w:tblPr>
        <w:tblStyle w:val="Tablaconcuadrcula"/>
        <w:tblW w:w="0" w:type="auto"/>
        <w:tblBorders>
          <w:top w:val="single" w:sz="18" w:space="0" w:color="336699"/>
          <w:left w:val="none" w:sz="0" w:space="0" w:color="auto"/>
          <w:bottom w:val="single" w:sz="18" w:space="0" w:color="336699"/>
          <w:right w:val="none" w:sz="0" w:space="0" w:color="auto"/>
          <w:insideH w:val="none" w:sz="0" w:space="0" w:color="auto"/>
          <w:insideV w:val="none" w:sz="0" w:space="0" w:color="auto"/>
        </w:tblBorders>
        <w:tblLook w:val="04A0"/>
      </w:tblPr>
      <w:tblGrid>
        <w:gridCol w:w="8504"/>
      </w:tblGrid>
      <w:tr w:rsidR="00433CD5" w:rsidRPr="00724C6E" w:rsidTr="008831B6">
        <w:tc>
          <w:tcPr>
            <w:tcW w:w="8504" w:type="dxa"/>
          </w:tcPr>
          <w:p w:rsidR="00433CD5" w:rsidRPr="00827BEE" w:rsidRDefault="00433CD5" w:rsidP="008831B6">
            <w:pPr>
              <w:keepNext/>
              <w:widowControl w:val="0"/>
              <w:tabs>
                <w:tab w:val="left" w:pos="2400"/>
              </w:tabs>
              <w:spacing w:before="60" w:after="60" w:line="240" w:lineRule="atLeast"/>
              <w:jc w:val="center"/>
              <w:rPr>
                <w:rFonts w:ascii="Times New Roman" w:hAnsi="Times New Roman" w:cs="Times New Roman"/>
                <w:b/>
                <w:i/>
                <w:color w:val="336699"/>
                <w:sz w:val="24"/>
                <w:lang w:val="es-ES_tradnl"/>
              </w:rPr>
            </w:pPr>
            <w:r>
              <w:rPr>
                <w:rFonts w:ascii="Times New Roman" w:hAnsi="Times New Roman" w:cs="Times New Roman"/>
                <w:b/>
                <w:i/>
                <w:color w:val="336699"/>
                <w:sz w:val="24"/>
                <w:lang w:val="es-ES_tradnl"/>
              </w:rPr>
              <w:lastRenderedPageBreak/>
              <w:t>Gráficos de evolución del mercado hipotecario</w:t>
            </w:r>
          </w:p>
        </w:tc>
      </w:tr>
    </w:tbl>
    <w:p w:rsidR="002625B5" w:rsidRDefault="002109ED" w:rsidP="002625B5">
      <w:pPr>
        <w:spacing w:before="240" w:after="120" w:line="240" w:lineRule="atLeast"/>
        <w:jc w:val="both"/>
        <w:rPr>
          <w:rFonts w:ascii="Times New Roman" w:hAnsi="Times New Roman" w:cs="Times New Roman"/>
          <w:szCs w:val="20"/>
        </w:rPr>
      </w:pPr>
      <w:r w:rsidRPr="002109ED">
        <w:rPr>
          <w:noProof/>
        </w:rPr>
        <w:drawing>
          <wp:inline distT="0" distB="0" distL="0" distR="0">
            <wp:extent cx="5400040" cy="74447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7444740"/>
                    </a:xfrm>
                    <a:prstGeom prst="rect">
                      <a:avLst/>
                    </a:prstGeom>
                    <a:noFill/>
                    <a:ln>
                      <a:noFill/>
                    </a:ln>
                  </pic:spPr>
                </pic:pic>
              </a:graphicData>
            </a:graphic>
          </wp:inline>
        </w:drawing>
      </w:r>
    </w:p>
    <w:p w:rsidR="004426DA" w:rsidRDefault="004426DA" w:rsidP="002625B5">
      <w:pPr>
        <w:spacing w:before="240" w:after="120" w:line="240" w:lineRule="atLeast"/>
        <w:jc w:val="both"/>
        <w:rPr>
          <w:rFonts w:ascii="Times New Roman" w:hAnsi="Times New Roman" w:cs="Times New Roman"/>
          <w:szCs w:val="20"/>
        </w:rPr>
      </w:pPr>
    </w:p>
    <w:p w:rsidR="00D13E17" w:rsidRDefault="00D13E17" w:rsidP="002625B5">
      <w:pPr>
        <w:spacing w:before="240" w:after="120" w:line="240" w:lineRule="atLeast"/>
        <w:jc w:val="both"/>
        <w:rPr>
          <w:rFonts w:ascii="Times New Roman" w:hAnsi="Times New Roman" w:cs="Times New Roman"/>
          <w:szCs w:val="20"/>
        </w:rPr>
      </w:pPr>
    </w:p>
    <w:p w:rsidR="00866044" w:rsidRDefault="00C249F5" w:rsidP="002625B5">
      <w:pPr>
        <w:spacing w:before="240" w:after="120" w:line="240" w:lineRule="atLeast"/>
        <w:jc w:val="both"/>
        <w:rPr>
          <w:rFonts w:ascii="Times New Roman" w:hAnsi="Times New Roman" w:cs="Times New Roman"/>
          <w:szCs w:val="20"/>
        </w:rPr>
      </w:pPr>
      <w:r w:rsidRPr="00C249F5">
        <w:rPr>
          <w:noProof/>
        </w:rPr>
        <w:lastRenderedPageBreak/>
        <w:drawing>
          <wp:inline distT="0" distB="0" distL="0" distR="0">
            <wp:extent cx="5400040" cy="75914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7591425"/>
                    </a:xfrm>
                    <a:prstGeom prst="rect">
                      <a:avLst/>
                    </a:prstGeom>
                    <a:noFill/>
                    <a:ln>
                      <a:noFill/>
                    </a:ln>
                  </pic:spPr>
                </pic:pic>
              </a:graphicData>
            </a:graphic>
          </wp:inline>
        </w:drawing>
      </w:r>
    </w:p>
    <w:p w:rsidR="00C249F5" w:rsidRDefault="00C249F5" w:rsidP="002625B5">
      <w:pPr>
        <w:spacing w:before="240" w:after="120" w:line="240" w:lineRule="atLeast"/>
        <w:jc w:val="both"/>
        <w:rPr>
          <w:rFonts w:ascii="Times New Roman" w:hAnsi="Times New Roman" w:cs="Times New Roman"/>
          <w:szCs w:val="20"/>
        </w:rPr>
      </w:pPr>
    </w:p>
    <w:p w:rsidR="007C6731" w:rsidRDefault="007C6731" w:rsidP="002625B5">
      <w:pPr>
        <w:spacing w:before="240" w:after="120" w:line="240" w:lineRule="atLeast"/>
        <w:jc w:val="both"/>
        <w:rPr>
          <w:rFonts w:ascii="Times New Roman" w:hAnsi="Times New Roman" w:cs="Times New Roman"/>
          <w:szCs w:val="20"/>
        </w:rPr>
      </w:pPr>
    </w:p>
    <w:p w:rsidR="00433CD5" w:rsidRDefault="00433CD5" w:rsidP="00433CD5">
      <w:pPr>
        <w:rPr>
          <w:sz w:val="20"/>
          <w:szCs w:val="20"/>
        </w:rPr>
      </w:pPr>
    </w:p>
    <w:tbl>
      <w:tblPr>
        <w:tblStyle w:val="Tablaconcuadrcula"/>
        <w:tblW w:w="0" w:type="auto"/>
        <w:tblBorders>
          <w:top w:val="single" w:sz="18" w:space="0" w:color="336699"/>
          <w:left w:val="none" w:sz="0" w:space="0" w:color="auto"/>
          <w:bottom w:val="single" w:sz="18" w:space="0" w:color="336699"/>
          <w:right w:val="none" w:sz="0" w:space="0" w:color="auto"/>
          <w:insideH w:val="none" w:sz="0" w:space="0" w:color="auto"/>
          <w:insideV w:val="none" w:sz="0" w:space="0" w:color="auto"/>
        </w:tblBorders>
        <w:tblLook w:val="04A0"/>
      </w:tblPr>
      <w:tblGrid>
        <w:gridCol w:w="8504"/>
      </w:tblGrid>
      <w:tr w:rsidR="00433CD5" w:rsidRPr="00724C6E" w:rsidTr="008831B6">
        <w:tc>
          <w:tcPr>
            <w:tcW w:w="8504" w:type="dxa"/>
          </w:tcPr>
          <w:p w:rsidR="00433CD5" w:rsidRPr="00827BEE" w:rsidRDefault="00433CD5" w:rsidP="008831B6">
            <w:pPr>
              <w:keepNext/>
              <w:widowControl w:val="0"/>
              <w:tabs>
                <w:tab w:val="left" w:pos="2400"/>
              </w:tabs>
              <w:spacing w:before="60" w:after="60" w:line="240" w:lineRule="atLeast"/>
              <w:jc w:val="center"/>
              <w:rPr>
                <w:rFonts w:ascii="Times New Roman" w:hAnsi="Times New Roman" w:cs="Times New Roman"/>
                <w:b/>
                <w:i/>
                <w:color w:val="336699"/>
                <w:sz w:val="24"/>
                <w:lang w:val="es-ES_tradnl"/>
              </w:rPr>
            </w:pPr>
            <w:r>
              <w:rPr>
                <w:rFonts w:ascii="Times New Roman" w:hAnsi="Times New Roman" w:cs="Times New Roman"/>
                <w:b/>
                <w:i/>
                <w:color w:val="336699"/>
                <w:sz w:val="24"/>
                <w:lang w:val="es-ES_tradnl"/>
              </w:rPr>
              <w:lastRenderedPageBreak/>
              <w:t>Gráficos de evolución del mercado societario</w:t>
            </w:r>
          </w:p>
        </w:tc>
      </w:tr>
    </w:tbl>
    <w:p w:rsidR="002625B5" w:rsidRDefault="00C249F5" w:rsidP="002625B5">
      <w:pPr>
        <w:spacing w:before="240" w:after="120" w:line="280" w:lineRule="atLeast"/>
        <w:jc w:val="both"/>
        <w:rPr>
          <w:rFonts w:ascii="Times New Roman" w:hAnsi="Times New Roman" w:cs="Times New Roman"/>
          <w:szCs w:val="20"/>
        </w:rPr>
      </w:pPr>
      <w:r w:rsidRPr="00C249F5">
        <w:rPr>
          <w:noProof/>
        </w:rPr>
        <w:drawing>
          <wp:inline distT="0" distB="0" distL="0" distR="0">
            <wp:extent cx="5400040" cy="74447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7444740"/>
                    </a:xfrm>
                    <a:prstGeom prst="rect">
                      <a:avLst/>
                    </a:prstGeom>
                    <a:noFill/>
                    <a:ln>
                      <a:noFill/>
                    </a:ln>
                  </pic:spPr>
                </pic:pic>
              </a:graphicData>
            </a:graphic>
          </wp:inline>
        </w:drawing>
      </w:r>
    </w:p>
    <w:p w:rsidR="00E53886" w:rsidRDefault="00E53886" w:rsidP="002625B5">
      <w:pPr>
        <w:spacing w:before="240" w:after="120" w:line="280" w:lineRule="atLeast"/>
        <w:jc w:val="both"/>
        <w:rPr>
          <w:rFonts w:ascii="Times New Roman" w:hAnsi="Times New Roman" w:cs="Times New Roman"/>
          <w:szCs w:val="20"/>
        </w:rPr>
      </w:pPr>
    </w:p>
    <w:p w:rsidR="00E53886" w:rsidRDefault="00E53886" w:rsidP="002625B5">
      <w:pPr>
        <w:spacing w:before="240" w:after="120" w:line="280" w:lineRule="atLeast"/>
        <w:jc w:val="both"/>
        <w:rPr>
          <w:rFonts w:ascii="Times New Roman" w:hAnsi="Times New Roman" w:cs="Times New Roman"/>
          <w:szCs w:val="20"/>
        </w:rPr>
      </w:pPr>
    </w:p>
    <w:p w:rsidR="00D13E17" w:rsidRDefault="00D13E17" w:rsidP="002625B5">
      <w:pPr>
        <w:spacing w:before="240" w:after="120" w:line="280" w:lineRule="atLeast"/>
        <w:jc w:val="both"/>
        <w:rPr>
          <w:rFonts w:ascii="Times New Roman" w:hAnsi="Times New Roman" w:cs="Times New Roman"/>
          <w:szCs w:val="20"/>
        </w:rPr>
      </w:pPr>
    </w:p>
    <w:p w:rsidR="00EF29E7" w:rsidRDefault="007C39E2" w:rsidP="002625B5">
      <w:pPr>
        <w:spacing w:before="240" w:after="120" w:line="280" w:lineRule="atLeast"/>
        <w:jc w:val="both"/>
        <w:rPr>
          <w:rFonts w:ascii="Times New Roman" w:hAnsi="Times New Roman" w:cs="Times New Roman"/>
          <w:szCs w:val="20"/>
        </w:rPr>
      </w:pPr>
      <w:r w:rsidRPr="007C39E2">
        <w:rPr>
          <w:noProof/>
        </w:rPr>
        <w:drawing>
          <wp:inline distT="0" distB="0" distL="0" distR="0">
            <wp:extent cx="5400040" cy="50196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5019675"/>
                    </a:xfrm>
                    <a:prstGeom prst="rect">
                      <a:avLst/>
                    </a:prstGeom>
                    <a:noFill/>
                    <a:ln>
                      <a:noFill/>
                    </a:ln>
                  </pic:spPr>
                </pic:pic>
              </a:graphicData>
            </a:graphic>
          </wp:inline>
        </w:drawing>
      </w:r>
    </w:p>
    <w:p w:rsidR="00CC3096" w:rsidRDefault="00CC3096" w:rsidP="002625B5">
      <w:pPr>
        <w:spacing w:before="240" w:after="120" w:line="280" w:lineRule="atLeast"/>
        <w:jc w:val="both"/>
        <w:rPr>
          <w:rFonts w:ascii="Times New Roman" w:hAnsi="Times New Roman" w:cs="Times New Roman"/>
          <w:szCs w:val="20"/>
        </w:rPr>
      </w:pPr>
    </w:p>
    <w:p w:rsidR="0053274C" w:rsidRDefault="0053274C" w:rsidP="002625B5">
      <w:pPr>
        <w:spacing w:before="240" w:after="120" w:line="280" w:lineRule="atLeast"/>
        <w:jc w:val="both"/>
        <w:rPr>
          <w:rFonts w:ascii="Times New Roman" w:hAnsi="Times New Roman" w:cs="Times New Roman"/>
          <w:szCs w:val="20"/>
        </w:rPr>
      </w:pPr>
    </w:p>
    <w:p w:rsidR="009A090B" w:rsidRDefault="009A090B" w:rsidP="002625B5">
      <w:pPr>
        <w:spacing w:before="240" w:after="120" w:line="280" w:lineRule="atLeast"/>
        <w:jc w:val="both"/>
        <w:rPr>
          <w:rFonts w:ascii="Times New Roman" w:hAnsi="Times New Roman" w:cs="Times New Roman"/>
          <w:szCs w:val="20"/>
        </w:rPr>
      </w:pPr>
    </w:p>
    <w:p w:rsidR="00D8042A" w:rsidRPr="00333A00" w:rsidRDefault="00D8042A" w:rsidP="002625B5">
      <w:pPr>
        <w:spacing w:before="240" w:after="120" w:line="280" w:lineRule="atLeast"/>
        <w:jc w:val="both"/>
        <w:rPr>
          <w:rFonts w:ascii="Times New Roman" w:hAnsi="Times New Roman" w:cs="Times New Roman"/>
          <w:szCs w:val="20"/>
        </w:rPr>
      </w:pPr>
    </w:p>
    <w:p w:rsidR="00433CD5" w:rsidRDefault="00433CD5" w:rsidP="00433CD5">
      <w:pPr>
        <w:spacing w:before="240" w:after="240" w:line="320" w:lineRule="atLeast"/>
        <w:jc w:val="both"/>
        <w:rPr>
          <w:rFonts w:ascii="Times New Roman" w:hAnsi="Times New Roman" w:cs="Times New Roman"/>
          <w:i/>
          <w:iCs/>
          <w:szCs w:val="20"/>
        </w:rPr>
      </w:pPr>
    </w:p>
    <w:p w:rsidR="00895E2A" w:rsidRPr="00333A00" w:rsidRDefault="00895E2A" w:rsidP="00433CD5">
      <w:pPr>
        <w:spacing w:before="240" w:after="240" w:line="320" w:lineRule="atLeast"/>
        <w:jc w:val="both"/>
        <w:rPr>
          <w:rFonts w:ascii="Times New Roman" w:hAnsi="Times New Roman" w:cs="Times New Roman"/>
          <w:szCs w:val="20"/>
        </w:rPr>
      </w:pPr>
    </w:p>
    <w:p w:rsidR="002625B5" w:rsidRDefault="002625B5" w:rsidP="00433CD5">
      <w:pPr>
        <w:spacing w:before="240" w:after="240" w:line="320" w:lineRule="atLeast"/>
        <w:jc w:val="both"/>
        <w:rPr>
          <w:rFonts w:ascii="Times New Roman" w:hAnsi="Times New Roman" w:cs="Times New Roman"/>
          <w:i/>
          <w:iCs/>
          <w:szCs w:val="20"/>
        </w:rPr>
      </w:pPr>
    </w:p>
    <w:p w:rsidR="002625B5" w:rsidRPr="007B0927" w:rsidRDefault="002625B5" w:rsidP="002625B5">
      <w:pPr>
        <w:spacing w:before="240" w:after="120" w:line="280" w:lineRule="atLeast"/>
        <w:jc w:val="both"/>
        <w:rPr>
          <w:rFonts w:ascii="Times New Roman" w:hAnsi="Times New Roman" w:cs="Times New Roman"/>
          <w:i/>
          <w:iCs/>
          <w:szCs w:val="20"/>
        </w:rPr>
      </w:pPr>
    </w:p>
    <w:p w:rsidR="002625B5" w:rsidRPr="00D13E17" w:rsidRDefault="002625B5" w:rsidP="002625B5">
      <w:pPr>
        <w:spacing w:before="240" w:after="240" w:line="320" w:lineRule="atLeast"/>
        <w:jc w:val="both"/>
        <w:rPr>
          <w:rFonts w:ascii="Times New Roman" w:hAnsi="Times New Roman" w:cs="Times New Roman"/>
          <w:szCs w:val="20"/>
        </w:rPr>
        <w:sectPr w:rsidR="002625B5" w:rsidRPr="00D13E17" w:rsidSect="00AE5CFE">
          <w:headerReference w:type="default" r:id="rId22"/>
          <w:pgSz w:w="11906" w:h="16838"/>
          <w:pgMar w:top="1985" w:right="1701" w:bottom="993" w:left="1701" w:header="708" w:footer="709" w:gutter="0"/>
          <w:cols w:space="708"/>
          <w:docGrid w:linePitch="360"/>
        </w:sectPr>
      </w:pPr>
    </w:p>
    <w:tbl>
      <w:tblPr>
        <w:tblStyle w:val="Tablaconcuadrcula"/>
        <w:tblW w:w="9072" w:type="dxa"/>
        <w:tblBorders>
          <w:top w:val="none" w:sz="0" w:space="0" w:color="auto"/>
          <w:left w:val="none" w:sz="0" w:space="0" w:color="auto"/>
          <w:bottom w:val="single" w:sz="18" w:space="0" w:color="336699"/>
          <w:right w:val="none" w:sz="0" w:space="0" w:color="auto"/>
          <w:insideH w:val="none" w:sz="0" w:space="0" w:color="auto"/>
          <w:insideV w:val="none" w:sz="0" w:space="0" w:color="auto"/>
        </w:tblBorders>
        <w:tblLook w:val="04A0"/>
      </w:tblPr>
      <w:tblGrid>
        <w:gridCol w:w="9072"/>
      </w:tblGrid>
      <w:tr w:rsidR="00A46D19" w:rsidRPr="00B92E93" w:rsidTr="0016112B">
        <w:tc>
          <w:tcPr>
            <w:tcW w:w="9072" w:type="dxa"/>
          </w:tcPr>
          <w:p w:rsidR="00A46D19" w:rsidRPr="00B92E93" w:rsidRDefault="00A46D19" w:rsidP="0016112B">
            <w:pPr>
              <w:keepNext/>
              <w:widowControl w:val="0"/>
              <w:tabs>
                <w:tab w:val="left" w:pos="2400"/>
              </w:tabs>
              <w:spacing w:before="120" w:after="120" w:line="320" w:lineRule="atLeast"/>
              <w:ind w:left="-100" w:right="-683"/>
              <w:rPr>
                <w:rFonts w:ascii="Arial" w:hAnsi="Arial" w:cs="Arial"/>
                <w:b/>
                <w:color w:val="FF0000"/>
                <w:lang w:val="es-ES_tradnl"/>
              </w:rPr>
            </w:pPr>
            <w:r w:rsidRPr="00B92E93">
              <w:rPr>
                <w:rFonts w:ascii="Arial" w:hAnsi="Arial" w:cs="Arial"/>
                <w:b/>
                <w:color w:val="336699"/>
                <w:lang w:val="es-ES_tradnl"/>
              </w:rPr>
              <w:lastRenderedPageBreak/>
              <w:t>N</w:t>
            </w:r>
            <w:r w:rsidR="00530E5E">
              <w:rPr>
                <w:rFonts w:ascii="Arial" w:hAnsi="Arial" w:cs="Arial"/>
                <w:b/>
                <w:color w:val="336699"/>
                <w:lang w:val="es-ES_tradnl"/>
              </w:rPr>
              <w:t>OTA METODOLÓGICA</w:t>
            </w:r>
            <w:r w:rsidRPr="00B92E93">
              <w:rPr>
                <w:rFonts w:ascii="Arial" w:hAnsi="Arial" w:cs="Arial"/>
                <w:b/>
                <w:color w:val="336699"/>
                <w:lang w:val="es-ES_tradnl"/>
              </w:rPr>
              <w:t xml:space="preserve"> </w:t>
            </w:r>
          </w:p>
        </w:tc>
      </w:tr>
    </w:tbl>
    <w:p w:rsidR="00A46D19" w:rsidRPr="00B92E93" w:rsidRDefault="00A46D19" w:rsidP="0016112B">
      <w:pPr>
        <w:spacing w:before="240" w:line="280" w:lineRule="atLeast"/>
        <w:jc w:val="both"/>
        <w:rPr>
          <w:szCs w:val="20"/>
        </w:rPr>
      </w:pPr>
      <w:r w:rsidRPr="00B92E93">
        <w:rPr>
          <w:szCs w:val="20"/>
        </w:rPr>
        <w:t>Los datos ofrecidos proceden del Centro de Información Estadística del Notariado (</w:t>
      </w:r>
      <w:hyperlink r:id="rId23" w:history="1">
        <w:r w:rsidRPr="00B92E93">
          <w:rPr>
            <w:rStyle w:val="Hipervnculo"/>
            <w:szCs w:val="20"/>
          </w:rPr>
          <w:t>www.cienotariado.org</w:t>
        </w:r>
      </w:hyperlink>
      <w:r w:rsidRPr="00B92E93">
        <w:rPr>
          <w:szCs w:val="20"/>
        </w:rPr>
        <w:t>), una base de datos elaborada por el</w:t>
      </w:r>
      <w:r w:rsidR="00DA553B">
        <w:rPr>
          <w:szCs w:val="20"/>
        </w:rPr>
        <w:t xml:space="preserve"> Consejo General del Notariado, que</w:t>
      </w:r>
      <w:r w:rsidRPr="00B92E93">
        <w:rPr>
          <w:szCs w:val="20"/>
        </w:rPr>
        <w:t xml:space="preserve"> son un reflejo fiel de la actividad económica española.</w:t>
      </w:r>
      <w:r w:rsidR="00F074ED">
        <w:rPr>
          <w:szCs w:val="20"/>
        </w:rPr>
        <w:t xml:space="preserve"> </w:t>
      </w:r>
      <w:r w:rsidRPr="00B92E93">
        <w:rPr>
          <w:szCs w:val="20"/>
        </w:rPr>
        <w:t xml:space="preserve">Estos datos provienen del Índice Único Informatizado </w:t>
      </w:r>
      <w:r w:rsidR="00431851">
        <w:rPr>
          <w:szCs w:val="20"/>
        </w:rPr>
        <w:t xml:space="preserve">Notarial </w:t>
      </w:r>
      <w:r w:rsidRPr="00B92E93">
        <w:rPr>
          <w:szCs w:val="20"/>
        </w:rPr>
        <w:t>y están disociados de cualquier dato personal y debidamente anonimizados. El proceso de agregación de la información es el siguiente:</w:t>
      </w:r>
    </w:p>
    <w:p w:rsidR="00A46D19" w:rsidRPr="00B92E93" w:rsidRDefault="00A46D19" w:rsidP="00DA553B">
      <w:pPr>
        <w:keepNext/>
        <w:spacing w:before="240" w:line="280" w:lineRule="atLeast"/>
        <w:jc w:val="both"/>
        <w:rPr>
          <w:b/>
          <w:color w:val="336699"/>
          <w:szCs w:val="20"/>
        </w:rPr>
      </w:pPr>
      <w:r w:rsidRPr="00B92E93">
        <w:rPr>
          <w:b/>
          <w:color w:val="336699"/>
          <w:szCs w:val="20"/>
        </w:rPr>
        <w:t>El notario, fuente de información objetiva</w:t>
      </w:r>
    </w:p>
    <w:p w:rsidR="00A46D19" w:rsidRPr="00B92E93" w:rsidRDefault="00A46D19" w:rsidP="00033432">
      <w:pPr>
        <w:spacing w:before="120" w:line="280" w:lineRule="atLeast"/>
        <w:jc w:val="both"/>
        <w:rPr>
          <w:szCs w:val="20"/>
        </w:rPr>
      </w:pPr>
      <w:r w:rsidRPr="00B92E93">
        <w:rPr>
          <w:szCs w:val="20"/>
        </w:rPr>
        <w:t>La labor diaria del notario le permite obtener una información directa y fiel en relación con aspectos de orden</w:t>
      </w:r>
      <w:r w:rsidR="00431851">
        <w:rPr>
          <w:szCs w:val="20"/>
        </w:rPr>
        <w:t xml:space="preserve"> jurídico y económico capitales</w:t>
      </w:r>
      <w:r w:rsidRPr="00B92E93">
        <w:rPr>
          <w:szCs w:val="20"/>
        </w:rPr>
        <w:t>. De ahí que su actividad constituya una fuente de información precisa e independiente, difícil de obtener por medio de otras prácticas profesionales y administrativas.</w:t>
      </w:r>
    </w:p>
    <w:p w:rsidR="00A46D19" w:rsidRPr="00B92E93" w:rsidRDefault="00A46D19" w:rsidP="00DA553B">
      <w:pPr>
        <w:keepNext/>
        <w:spacing w:before="240" w:line="280" w:lineRule="atLeast"/>
        <w:jc w:val="both"/>
        <w:rPr>
          <w:b/>
          <w:color w:val="336699"/>
          <w:szCs w:val="20"/>
        </w:rPr>
      </w:pPr>
      <w:r w:rsidRPr="00B92E93">
        <w:rPr>
          <w:b/>
          <w:color w:val="336699"/>
          <w:szCs w:val="20"/>
        </w:rPr>
        <w:t>La escritura pública</w:t>
      </w:r>
    </w:p>
    <w:p w:rsidR="00A46D19" w:rsidRPr="00B92E93" w:rsidRDefault="00A46D19" w:rsidP="00033432">
      <w:pPr>
        <w:spacing w:before="120" w:line="280" w:lineRule="atLeast"/>
        <w:jc w:val="both"/>
        <w:rPr>
          <w:szCs w:val="20"/>
        </w:rPr>
      </w:pPr>
      <w:r w:rsidRPr="00B92E93">
        <w:rPr>
          <w:szCs w:val="20"/>
        </w:rPr>
        <w:t>Para que la actividad del notario pueda reportar una información válida y medible, los datos recogidos en la escritura pública deben ser parametrizados de modo que puedan ser procesado</w:t>
      </w:r>
      <w:r w:rsidR="00431851">
        <w:rPr>
          <w:szCs w:val="20"/>
        </w:rPr>
        <w:t>s por sus sistemas informáticos</w:t>
      </w:r>
      <w:r w:rsidRPr="00B92E93">
        <w:rPr>
          <w:szCs w:val="20"/>
        </w:rPr>
        <w:t>.</w:t>
      </w:r>
    </w:p>
    <w:p w:rsidR="00A46D19" w:rsidRPr="00B92E93" w:rsidRDefault="00A46D19" w:rsidP="00DA553B">
      <w:pPr>
        <w:keepNext/>
        <w:spacing w:before="240" w:line="280" w:lineRule="atLeast"/>
        <w:jc w:val="both"/>
        <w:rPr>
          <w:b/>
          <w:color w:val="336699"/>
          <w:szCs w:val="20"/>
        </w:rPr>
      </w:pPr>
      <w:r w:rsidRPr="00B92E93">
        <w:rPr>
          <w:b/>
          <w:color w:val="336699"/>
          <w:szCs w:val="20"/>
        </w:rPr>
        <w:t>Participación d</w:t>
      </w:r>
      <w:r w:rsidR="00431851">
        <w:rPr>
          <w:b/>
          <w:color w:val="336699"/>
          <w:szCs w:val="20"/>
        </w:rPr>
        <w:t>e todas las notarías de España</w:t>
      </w:r>
    </w:p>
    <w:p w:rsidR="00A46D19" w:rsidRPr="00B92E93" w:rsidRDefault="00431851" w:rsidP="00033432">
      <w:pPr>
        <w:spacing w:before="120" w:line="280" w:lineRule="atLeast"/>
        <w:jc w:val="both"/>
        <w:rPr>
          <w:szCs w:val="20"/>
        </w:rPr>
      </w:pPr>
      <w:r>
        <w:rPr>
          <w:szCs w:val="20"/>
        </w:rPr>
        <w:t xml:space="preserve">El Notariado </w:t>
      </w:r>
      <w:r w:rsidR="00A46D19" w:rsidRPr="00B92E93">
        <w:rPr>
          <w:szCs w:val="20"/>
        </w:rPr>
        <w:t>ha implantado en todo el país una red propia que mantiene permanentemente conectadas a todas las notarías del país (independientemente de su dimensión y localización geográfica), los Colegios Notariales y el Consejo General del Notariado, así como los organismos pú</w:t>
      </w:r>
      <w:r>
        <w:rPr>
          <w:szCs w:val="20"/>
        </w:rPr>
        <w:t>blicos y privados colaboradores</w:t>
      </w:r>
      <w:r w:rsidR="00A46D19" w:rsidRPr="00B92E93">
        <w:rPr>
          <w:szCs w:val="20"/>
        </w:rPr>
        <w:t>.</w:t>
      </w:r>
    </w:p>
    <w:p w:rsidR="00A46D19" w:rsidRPr="00B92E93" w:rsidRDefault="00DA553B" w:rsidP="00DA553B">
      <w:pPr>
        <w:keepNext/>
        <w:spacing w:before="240" w:line="280" w:lineRule="atLeast"/>
        <w:jc w:val="both"/>
        <w:rPr>
          <w:b/>
          <w:color w:val="336699"/>
          <w:szCs w:val="20"/>
        </w:rPr>
      </w:pPr>
      <w:r>
        <w:rPr>
          <w:b/>
          <w:color w:val="336699"/>
          <w:szCs w:val="20"/>
        </w:rPr>
        <w:t>El Índice Único Informatizado</w:t>
      </w:r>
    </w:p>
    <w:p w:rsidR="00DA553B" w:rsidRDefault="00DA553B" w:rsidP="00033432">
      <w:pPr>
        <w:tabs>
          <w:tab w:val="left" w:pos="2400"/>
        </w:tabs>
        <w:spacing w:before="120" w:line="280" w:lineRule="atLeast"/>
        <w:jc w:val="both"/>
      </w:pPr>
      <w:r>
        <w:t>R</w:t>
      </w:r>
      <w:r w:rsidR="00A46D19" w:rsidRPr="00B92E93">
        <w:t>ecopilando el conjunto de actos celebrados en todas las notarías españolas en una base de datos única, el Consejo General del Notariado obtiene el denominado Índice Único Informatizado</w:t>
      </w:r>
      <w:r>
        <w:t xml:space="preserve"> Notarial</w:t>
      </w:r>
      <w:r w:rsidR="00A46D19" w:rsidRPr="00B92E93">
        <w:t>, que se actualiza quincenalment</w:t>
      </w:r>
      <w:r>
        <w:t xml:space="preserve">e. </w:t>
      </w:r>
      <w:r w:rsidR="00A46D19" w:rsidRPr="00B92E93">
        <w:t xml:space="preserve">De esos datos, y tras un proceso de </w:t>
      </w:r>
      <w:proofErr w:type="spellStart"/>
      <w:r w:rsidR="00A46D19" w:rsidRPr="00B92E93">
        <w:t>anonimización</w:t>
      </w:r>
      <w:proofErr w:type="spellEnd"/>
      <w:r w:rsidR="00A46D19" w:rsidRPr="00B92E93">
        <w:t xml:space="preserve"> de los mismos, se obtienen las estadísticas que permiten ofrecer de primera mano indicadores de capital importancia</w:t>
      </w:r>
      <w:r>
        <w:t>.</w:t>
      </w:r>
      <w:r w:rsidR="00A46D19" w:rsidRPr="00B92E93">
        <w:t xml:space="preserve"> </w:t>
      </w:r>
    </w:p>
    <w:p w:rsidR="00A46D19" w:rsidRPr="00B92E93" w:rsidRDefault="00A46D19" w:rsidP="00DA553B">
      <w:pPr>
        <w:tabs>
          <w:tab w:val="left" w:pos="2400"/>
        </w:tabs>
        <w:spacing w:before="240" w:line="280" w:lineRule="atLeast"/>
        <w:jc w:val="both"/>
        <w:rPr>
          <w:b/>
          <w:color w:val="336699"/>
          <w:szCs w:val="20"/>
        </w:rPr>
      </w:pPr>
      <w:r w:rsidRPr="00B92E93">
        <w:rPr>
          <w:b/>
          <w:color w:val="336699"/>
          <w:szCs w:val="20"/>
        </w:rPr>
        <w:t xml:space="preserve">Seguridad y confidencialidad plenas </w:t>
      </w:r>
    </w:p>
    <w:tbl>
      <w:tblPr>
        <w:tblStyle w:val="Tablaconcuadrcula"/>
        <w:tblpPr w:leftFromText="141" w:rightFromText="141" w:vertAnchor="text" w:horzAnchor="margin" w:tblpY="2385"/>
        <w:tblW w:w="9072" w:type="dxa"/>
        <w:tblBorders>
          <w:top w:val="thinThickSmallGap" w:sz="24" w:space="0" w:color="931638"/>
          <w:left w:val="none" w:sz="0" w:space="0" w:color="auto"/>
          <w:bottom w:val="thickThinSmallGap" w:sz="24" w:space="0" w:color="931638"/>
          <w:right w:val="none" w:sz="0" w:space="0" w:color="auto"/>
          <w:insideH w:val="none" w:sz="0" w:space="0" w:color="auto"/>
          <w:insideV w:val="none" w:sz="0" w:space="0" w:color="auto"/>
        </w:tblBorders>
        <w:tblLook w:val="04A0"/>
      </w:tblPr>
      <w:tblGrid>
        <w:gridCol w:w="9072"/>
      </w:tblGrid>
      <w:tr w:rsidR="004F48EE" w:rsidRPr="00724C6E" w:rsidTr="004F48EE">
        <w:trPr>
          <w:trHeight w:val="1062"/>
        </w:trPr>
        <w:tc>
          <w:tcPr>
            <w:tcW w:w="9072" w:type="dxa"/>
            <w:tcBorders>
              <w:top w:val="thinThickSmallGap" w:sz="24" w:space="0" w:color="0E2132"/>
              <w:bottom w:val="thinThickSmallGap" w:sz="24" w:space="0" w:color="0E2132"/>
            </w:tcBorders>
          </w:tcPr>
          <w:p w:rsidR="004F48EE" w:rsidRPr="00724C6E" w:rsidRDefault="004F48EE" w:rsidP="004F48EE">
            <w:pPr>
              <w:spacing w:before="240" w:after="240"/>
              <w:jc w:val="center"/>
              <w:rPr>
                <w:rFonts w:ascii="Times New Roman" w:hAnsi="Times New Roman" w:cs="Times New Roman"/>
                <w:szCs w:val="20"/>
              </w:rPr>
            </w:pPr>
            <w:bookmarkStart w:id="0" w:name="OLE_LINK1"/>
            <w:r w:rsidRPr="007F1F17">
              <w:rPr>
                <w:rFonts w:ascii="Times New Roman" w:hAnsi="Times New Roman" w:cs="Times New Roman"/>
                <w:b/>
                <w:noProof/>
                <w:szCs w:val="20"/>
              </w:rPr>
              <w:drawing>
                <wp:anchor distT="0" distB="0" distL="114300" distR="114300" simplePos="0" relativeHeight="251658241" behindDoc="0" locked="0" layoutInCell="1" allowOverlap="1">
                  <wp:simplePos x="0" y="0"/>
                  <wp:positionH relativeFrom="column">
                    <wp:posOffset>1908016</wp:posOffset>
                  </wp:positionH>
                  <wp:positionV relativeFrom="paragraph">
                    <wp:posOffset>88265</wp:posOffset>
                  </wp:positionV>
                  <wp:extent cx="1656000" cy="329166"/>
                  <wp:effectExtent l="0" t="0" r="1905" b="0"/>
                  <wp:wrapNone/>
                  <wp:docPr id="20" name="Gráfico 2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B955806-7FA6-4991-A284-4C59569C8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3">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B955806-7FA6-4991-A284-4C59569C873F}"/>
                              </a:ext>
                            </a:extLst>
                          </pic:cNvPr>
                          <pic:cNvPicPr>
                            <a:picLocks noChangeAspect="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5"/>
                              </a:ext>
                            </a:extLst>
                          </a:blip>
                          <a:stretch>
                            <a:fillRect/>
                          </a:stretch>
                        </pic:blipFill>
                        <pic:spPr>
                          <a:xfrm>
                            <a:off x="0" y="0"/>
                            <a:ext cx="1656000" cy="329166"/>
                          </a:xfrm>
                          <a:prstGeom prst="rect">
                            <a:avLst/>
                          </a:prstGeom>
                        </pic:spPr>
                      </pic:pic>
                    </a:graphicData>
                  </a:graphic>
                </wp:anchor>
              </w:drawing>
            </w:r>
          </w:p>
          <w:p w:rsidR="004F48EE" w:rsidRPr="00724C6E" w:rsidRDefault="009602DB" w:rsidP="004F48EE">
            <w:pPr>
              <w:jc w:val="center"/>
              <w:rPr>
                <w:rFonts w:ascii="Times New Roman" w:hAnsi="Times New Roman" w:cs="Times New Roman"/>
                <w:szCs w:val="20"/>
              </w:rPr>
            </w:pPr>
            <w:hyperlink r:id="rId26" w:history="1">
              <w:r w:rsidR="00CF3429" w:rsidRPr="00411383">
                <w:rPr>
                  <w:rStyle w:val="Hipervnculo"/>
                  <w:rFonts w:ascii="Times New Roman" w:hAnsi="Times New Roman" w:cs="Times New Roman"/>
                  <w:szCs w:val="20"/>
                </w:rPr>
                <w:t>cien@m</w:t>
              </w:r>
              <w:r w:rsidR="00CF3429" w:rsidRPr="00411383">
                <w:rPr>
                  <w:rStyle w:val="Hipervnculo"/>
                </w:rPr>
                <w:t>etyis</w:t>
              </w:r>
              <w:r w:rsidR="00CF3429" w:rsidRPr="00411383">
                <w:rPr>
                  <w:rStyle w:val="Hipervnculo"/>
                  <w:rFonts w:ascii="Times New Roman" w:hAnsi="Times New Roman" w:cs="Times New Roman"/>
                  <w:szCs w:val="20"/>
                </w:rPr>
                <w:t>.c</w:t>
              </w:r>
              <w:r w:rsidR="00CF3429" w:rsidRPr="00411383">
                <w:rPr>
                  <w:rStyle w:val="Hipervnculo"/>
                </w:rPr>
                <w:t>om</w:t>
              </w:r>
            </w:hyperlink>
          </w:p>
        </w:tc>
      </w:tr>
    </w:tbl>
    <w:bookmarkEnd w:id="0"/>
    <w:p w:rsidR="00A46D19" w:rsidRDefault="00A46D19" w:rsidP="00033432">
      <w:pPr>
        <w:tabs>
          <w:tab w:val="left" w:pos="2400"/>
        </w:tabs>
        <w:spacing w:before="120" w:line="280" w:lineRule="atLeast"/>
        <w:jc w:val="both"/>
      </w:pPr>
      <w:r w:rsidRPr="00B92E93">
        <w:t xml:space="preserve">El registro de los datos en el Índice Único Informatizado se realiza siguiendo un estricto protocolo diseñado para garantizar el correcto cumplimiento de la función notarial. El envío de los mismos por medios telemáticos a las diferentes instancias corporativas y a los organismos colaboradores se realiza </w:t>
      </w:r>
      <w:r w:rsidR="00DA553B">
        <w:t xml:space="preserve">a través de </w:t>
      </w:r>
      <w:r w:rsidRPr="00B92E93">
        <w:t>la Red Privada Notarial (RENO), de uso exclusivo del colectivo notarial, a la que no puede acceder ningún usuario que provenga de una red pública como Internet.</w:t>
      </w:r>
    </w:p>
    <w:p w:rsidR="00780F5E" w:rsidRPr="00B92E93" w:rsidRDefault="00965290" w:rsidP="004E3A36">
      <w:pPr>
        <w:tabs>
          <w:tab w:val="left" w:pos="2400"/>
        </w:tabs>
        <w:spacing w:before="240" w:after="120" w:line="280" w:lineRule="atLeast"/>
        <w:jc w:val="both"/>
      </w:pPr>
      <w:r>
        <w:rPr>
          <w:b/>
          <w:color w:val="336699"/>
          <w:szCs w:val="20"/>
        </w:rPr>
        <w:lastRenderedPageBreak/>
        <w:t>Para más información</w:t>
      </w:r>
      <w:r w:rsidR="0016112B">
        <w:rPr>
          <w:b/>
          <w:color w:val="336699"/>
          <w:szCs w:val="20"/>
        </w:rPr>
        <w:t>:</w:t>
      </w:r>
    </w:p>
    <w:sectPr w:rsidR="00780F5E" w:rsidRPr="00B92E93" w:rsidSect="00AE5CFE">
      <w:headerReference w:type="default" r:id="rId27"/>
      <w:pgSz w:w="11909" w:h="16834"/>
      <w:pgMar w:top="1440" w:right="1440" w:bottom="1440" w:left="1440" w:header="720" w:footer="8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3C" w:rsidRDefault="00A97A3C">
      <w:pPr>
        <w:spacing w:line="240" w:lineRule="auto"/>
      </w:pPr>
      <w:r>
        <w:separator/>
      </w:r>
    </w:p>
  </w:endnote>
  <w:endnote w:type="continuationSeparator" w:id="0">
    <w:p w:rsidR="00A97A3C" w:rsidRDefault="00A97A3C">
      <w:pPr>
        <w:spacing w:line="240" w:lineRule="auto"/>
      </w:pPr>
      <w:r>
        <w:continuationSeparator/>
      </w:r>
    </w:p>
  </w:endnote>
  <w:endnote w:type="continuationNotice" w:id="1">
    <w:p w:rsidR="00A97A3C" w:rsidRDefault="00A97A3C">
      <w:pPr>
        <w:spacing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80" w:rsidRPr="00786EB1" w:rsidRDefault="00B92FBB" w:rsidP="00786EB1">
    <w:pPr>
      <w:pStyle w:val="Piedepgina"/>
      <w:jc w:val="center"/>
      <w:rPr>
        <w:bCs/>
        <w:i/>
        <w:iCs/>
        <w:color w:val="7F7F7F" w:themeColor="text1" w:themeTint="80"/>
        <w:sz w:val="18"/>
        <w:szCs w:val="18"/>
      </w:rPr>
    </w:pPr>
    <w:r w:rsidRPr="00786EB1">
      <w:rPr>
        <w:bCs/>
        <w:color w:val="336699"/>
        <w:sz w:val="20"/>
        <w:szCs w:val="18"/>
      </w:rPr>
      <w:t>Centro de In</w:t>
    </w:r>
    <w:r w:rsidR="00AE5CFE" w:rsidRPr="00786EB1">
      <w:rPr>
        <w:bCs/>
        <w:color w:val="336699"/>
        <w:sz w:val="20"/>
        <w:szCs w:val="18"/>
      </w:rPr>
      <w:t>formación Estadística del Notariado (CIEN)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B1" w:rsidRPr="00D72B49" w:rsidRDefault="00786EB1" w:rsidP="00786EB1">
    <w:pPr>
      <w:pStyle w:val="Piedepgina"/>
      <w:ind w:left="-1701"/>
      <w:jc w:val="center"/>
      <w:rPr>
        <w:bCs/>
        <w:i/>
        <w:iCs/>
        <w:color w:val="7F7F7F" w:themeColor="text1" w:themeTint="80"/>
        <w:sz w:val="18"/>
        <w:szCs w:val="18"/>
      </w:rPr>
    </w:pPr>
    <w:r w:rsidRPr="00D72B49">
      <w:rPr>
        <w:bCs/>
        <w:color w:val="336699"/>
        <w:sz w:val="20"/>
        <w:szCs w:val="18"/>
      </w:rPr>
      <w:t>Centro de Información Estadística del Notariado (CIEN)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3C" w:rsidRDefault="00A97A3C">
      <w:pPr>
        <w:spacing w:line="240" w:lineRule="auto"/>
      </w:pPr>
      <w:r>
        <w:separator/>
      </w:r>
    </w:p>
  </w:footnote>
  <w:footnote w:type="continuationSeparator" w:id="0">
    <w:p w:rsidR="00A97A3C" w:rsidRDefault="00A97A3C">
      <w:pPr>
        <w:spacing w:line="240" w:lineRule="auto"/>
      </w:pPr>
      <w:r>
        <w:continuationSeparator/>
      </w:r>
    </w:p>
  </w:footnote>
  <w:footnote w:type="continuationNotice" w:id="1">
    <w:p w:rsidR="00A97A3C" w:rsidRDefault="00A97A3C">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43" w:rsidRDefault="009602DB">
    <w:pPr>
      <w:pStyle w:val="Encabezado"/>
    </w:pPr>
    <w:r w:rsidRPr="009602DB">
      <w:rPr>
        <w:rFonts w:ascii="Times New Roman" w:hAnsi="Times New Roman" w:cs="Times New Roman"/>
        <w:noProof/>
      </w:rPr>
      <w:pict>
        <v:shapetype id="_x0000_t202" coordsize="21600,21600" o:spt="202" path="m,l,21600r21600,l21600,xe">
          <v:stroke joinstyle="miter"/>
          <v:path gradientshapeok="t" o:connecttype="rect"/>
        </v:shapetype>
        <v:shape id="Cuadro de texto 10" o:spid="_x0000_s1027" type="#_x0000_t202" style="position:absolute;margin-left:272.95pt;margin-top:38.65pt;width:138.1pt;height:31.75pt;z-index:25165824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" stroked="f">
          <v:textbox style="mso-fit-shape-to-text:t">
            <w:txbxContent>
              <w:p w:rsidR="00EB4B46" w:rsidRPr="00A22C48" w:rsidRDefault="009602DB" w:rsidP="00EB4B46">
                <w:pPr>
                  <w:jc w:val="center"/>
                  <w:rPr>
                    <w:b/>
                    <w:color w:val="336699"/>
                  </w:rPr>
                </w:pPr>
                <w:hyperlink r:id="rId1" w:history="1">
                  <w:r w:rsidR="00EB4B46" w:rsidRPr="00A22C48">
                    <w:rPr>
                      <w:rStyle w:val="Hipervnculo"/>
                      <w:b/>
                      <w:color w:val="336699"/>
                    </w:rPr>
                    <w:t>www.cienotariado.org</w:t>
                  </w:r>
                </w:hyperlink>
              </w:p>
            </w:txbxContent>
          </v:textbox>
        </v:shape>
      </w:pict>
    </w:r>
    <w:r w:rsidR="008D0A43" w:rsidRPr="008D0A43">
      <w:rPr>
        <w:noProof/>
      </w:rPr>
      <w:drawing>
        <wp:anchor distT="0" distB="0" distL="114300" distR="114300" simplePos="0" relativeHeight="251658241" behindDoc="0" locked="0" layoutInCell="1" allowOverlap="1">
          <wp:simplePos x="0" y="0"/>
          <wp:positionH relativeFrom="column">
            <wp:posOffset>3256280</wp:posOffset>
          </wp:positionH>
          <wp:positionV relativeFrom="paragraph">
            <wp:posOffset>88959</wp:posOffset>
          </wp:positionV>
          <wp:extent cx="2103755" cy="395605"/>
          <wp:effectExtent l="0" t="0" r="0" b="4445"/>
          <wp:wrapSquare wrapText="bothSides"/>
          <wp:docPr id="59" name="Imagen 59" descr="cid:1772an$IN338013403703110@cgn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772an$IN338013403703110@cgn133"/>
                  <pic:cNvPicPr>
                    <a:picLocks noChangeAspect="1" noChangeArrowheads="1"/>
                  </pic:cNvPicPr>
                </pic:nvPicPr>
                <pic:blipFill>
                  <a:blip r:embed="rId2" r:link="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3755" cy="395605"/>
                  </a:xfrm>
                  <a:prstGeom prst="rect">
                    <a:avLst/>
                  </a:prstGeom>
                  <a:noFill/>
                  <a:ln>
                    <a:noFill/>
                  </a:ln>
                </pic:spPr>
              </pic:pic>
            </a:graphicData>
          </a:graphic>
        </wp:anchor>
      </w:drawing>
    </w:r>
    <w:r w:rsidR="008D0A43" w:rsidRPr="008D0A43">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767205" cy="716280"/>
          <wp:effectExtent l="0" t="0" r="4445" b="7620"/>
          <wp:wrapNone/>
          <wp:docPr id="60" name="Imagen 60" descr="P:\Jonás\Notarios\logo_c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P:\Jonás\Notarios\logo_cgn.png"/>
                  <pic:cNvPicPr>
                    <a:picLocks noChangeAspect="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7205" cy="71628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7D5" w:rsidRDefault="00433CD5">
    <w:pPr>
      <w:pStyle w:val="Encabezado"/>
    </w:pPr>
    <w:r w:rsidRPr="008D0A43">
      <w:rPr>
        <w:noProof/>
      </w:rPr>
      <w:drawing>
        <wp:anchor distT="0" distB="0" distL="114300" distR="114300" simplePos="0" relativeHeight="251658243" behindDoc="0" locked="0" layoutInCell="1" allowOverlap="1">
          <wp:simplePos x="0" y="0"/>
          <wp:positionH relativeFrom="column">
            <wp:posOffset>-1073150</wp:posOffset>
          </wp:positionH>
          <wp:positionV relativeFrom="paragraph">
            <wp:posOffset>-141384</wp:posOffset>
          </wp:positionV>
          <wp:extent cx="1767205" cy="716280"/>
          <wp:effectExtent l="0" t="0" r="4445" b="7620"/>
          <wp:wrapNone/>
          <wp:docPr id="38" name="Imagen 38" descr="P:\Jonás\Notarios\logo_c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P:\Jonás\Notarios\logo_cgn.png"/>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7205" cy="716280"/>
                  </a:xfrm>
                  <a:prstGeom prst="rect">
                    <a:avLst/>
                  </a:prstGeom>
                  <a:noFill/>
                  <a:ln>
                    <a:noFill/>
                  </a:ln>
                </pic:spPr>
              </pic:pic>
            </a:graphicData>
          </a:graphic>
        </wp:anchor>
      </w:drawing>
    </w:r>
    <w:r w:rsidR="009602DB" w:rsidRPr="009602DB">
      <w:rPr>
        <w:rFonts w:ascii="Times New Roman" w:hAnsi="Times New Roman" w:cs="Times New Roman"/>
        <w:noProof/>
      </w:rPr>
      <w:pict>
        <v:shapetype id="_x0000_t202" coordsize="21600,21600" o:spt="202" path="m,l,21600r21600,l21600,xe">
          <v:stroke joinstyle="miter"/>
          <v:path gradientshapeok="t" o:connecttype="rect"/>
        </v:shapetype>
        <v:shape id="Cuadro de texto 34" o:spid="_x0000_s1028" type="#_x0000_t202" style="position:absolute;margin-left:565.05pt;margin-top:23.5pt;width:138.1pt;height:31.75pt;z-index:25165825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" stroked="f">
          <v:textbox style="mso-fit-shape-to-text:t">
            <w:txbxContent>
              <w:p w:rsidR="009A27D5" w:rsidRPr="00A22C48" w:rsidRDefault="009602DB" w:rsidP="00EB4B46">
                <w:pPr>
                  <w:jc w:val="center"/>
                  <w:rPr>
                    <w:b/>
                    <w:color w:val="336699"/>
                  </w:rPr>
                </w:pPr>
                <w:hyperlink r:id="rId2" w:history="1">
                  <w:r w:rsidR="009A27D5" w:rsidRPr="00A22C48">
                    <w:rPr>
                      <w:rStyle w:val="Hipervnculo"/>
                      <w:b/>
                      <w:color w:val="336699"/>
                    </w:rPr>
                    <w:t>www.cienotariado.org</w:t>
                  </w:r>
                </w:hyperlink>
              </w:p>
            </w:txbxContent>
          </v:textbox>
        </v:shape>
      </w:pict>
    </w:r>
    <w:r w:rsidRPr="008D0A43">
      <w:rPr>
        <w:noProof/>
      </w:rPr>
      <w:drawing>
        <wp:anchor distT="0" distB="0" distL="114300" distR="114300" simplePos="0" relativeHeight="251658245" behindDoc="0" locked="0" layoutInCell="1" allowOverlap="1">
          <wp:simplePos x="0" y="0"/>
          <wp:positionH relativeFrom="column">
            <wp:posOffset>6924040</wp:posOffset>
          </wp:positionH>
          <wp:positionV relativeFrom="paragraph">
            <wp:posOffset>-94394</wp:posOffset>
          </wp:positionV>
          <wp:extent cx="2103755" cy="395605"/>
          <wp:effectExtent l="0" t="0" r="0" b="4445"/>
          <wp:wrapSquare wrapText="bothSides"/>
          <wp:docPr id="39" name="Imagen 39" descr="cid:1772an$IN338013403703110@cgn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772an$IN338013403703110@cgn133"/>
                  <pic:cNvPicPr>
                    <a:picLocks noChangeAspect="1" noChangeArrowheads="1"/>
                  </pic:cNvPicPr>
                </pic:nvPicPr>
                <pic:blipFill>
                  <a:blip r:embed="rId3" r:link="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3755" cy="39560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5A" w:rsidRDefault="009602DB">
    <w:pPr>
      <w:pStyle w:val="Encabezado"/>
    </w:pPr>
    <w:r w:rsidRPr="009602DB">
      <w:rPr>
        <w:rFonts w:ascii="Times New Roman" w:hAnsi="Times New Roman" w:cs="Times New Roman"/>
        <w:noProof/>
      </w:rPr>
      <w:pict>
        <v:shapetype id="_x0000_t202" coordsize="21600,21600" o:spt="202" path="m,l,21600r21600,l21600,xe">
          <v:stroke joinstyle="miter"/>
          <v:path gradientshapeok="t" o:connecttype="rect"/>
        </v:shapetype>
        <v:shape id="Cuadro de texto 31" o:spid="_x0000_s1029" type="#_x0000_t202" style="position:absolute;margin-left:272.9pt;margin-top:32.1pt;width:138.1pt;height:31.75pt;z-index:251658249;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" stroked="f">
          <v:textbox style="mso-fit-shape-to-text:t">
            <w:txbxContent>
              <w:p w:rsidR="0013255A" w:rsidRPr="00A22C48" w:rsidRDefault="009602DB" w:rsidP="00EB4B46">
                <w:pPr>
                  <w:jc w:val="center"/>
                  <w:rPr>
                    <w:b/>
                    <w:color w:val="336699"/>
                  </w:rPr>
                </w:pPr>
                <w:hyperlink r:id="rId1" w:history="1">
                  <w:r w:rsidR="0013255A" w:rsidRPr="00A22C48">
                    <w:rPr>
                      <w:rStyle w:val="Hipervnculo"/>
                      <w:b/>
                      <w:color w:val="336699"/>
                    </w:rPr>
                    <w:t>www.cienotariado.org</w:t>
                  </w:r>
                </w:hyperlink>
              </w:p>
            </w:txbxContent>
          </v:textbox>
        </v:shape>
      </w:pict>
    </w:r>
    <w:r w:rsidR="008D45FF" w:rsidRPr="008D0A43">
      <w:rPr>
        <w:noProof/>
      </w:rPr>
      <w:drawing>
        <wp:anchor distT="0" distB="0" distL="114300" distR="114300" simplePos="0" relativeHeight="251658248" behindDoc="0" locked="0" layoutInCell="1" allowOverlap="1">
          <wp:simplePos x="0" y="0"/>
          <wp:positionH relativeFrom="column">
            <wp:posOffset>3256280</wp:posOffset>
          </wp:positionH>
          <wp:positionV relativeFrom="paragraph">
            <wp:posOffset>3840</wp:posOffset>
          </wp:positionV>
          <wp:extent cx="2103755" cy="395605"/>
          <wp:effectExtent l="0" t="0" r="0" b="4445"/>
          <wp:wrapSquare wrapText="bothSides"/>
          <wp:docPr id="69" name="Imagen 69" descr="cid:1772an$IN338013403703110@cgn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772an$IN338013403703110@cgn133"/>
                  <pic:cNvPicPr>
                    <a:picLocks noChangeAspect="1" noChangeArrowheads="1"/>
                  </pic:cNvPicPr>
                </pic:nvPicPr>
                <pic:blipFill>
                  <a:blip r:embed="rId2" r:link="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3755" cy="395605"/>
                  </a:xfrm>
                  <a:prstGeom prst="rect">
                    <a:avLst/>
                  </a:prstGeom>
                  <a:noFill/>
                  <a:ln>
                    <a:noFill/>
                  </a:ln>
                </pic:spPr>
              </pic:pic>
            </a:graphicData>
          </a:graphic>
        </wp:anchor>
      </w:drawing>
    </w:r>
    <w:r w:rsidR="008D45FF" w:rsidRPr="008D0A43">
      <w:rPr>
        <w:noProof/>
      </w:rPr>
      <w:drawing>
        <wp:anchor distT="0" distB="0" distL="114300" distR="114300" simplePos="0" relativeHeight="251658247" behindDoc="0" locked="0" layoutInCell="1" allowOverlap="1">
          <wp:simplePos x="0" y="0"/>
          <wp:positionH relativeFrom="column">
            <wp:posOffset>0</wp:posOffset>
          </wp:positionH>
          <wp:positionV relativeFrom="paragraph">
            <wp:posOffset>-85695</wp:posOffset>
          </wp:positionV>
          <wp:extent cx="1767205" cy="716280"/>
          <wp:effectExtent l="0" t="0" r="4445" b="7620"/>
          <wp:wrapNone/>
          <wp:docPr id="70" name="Imagen 70" descr="P:\Jonás\Notarios\logo_c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P:\Jonás\Notarios\logo_cgn.png"/>
                  <pic:cNvPicPr>
                    <a:picLocks noChangeAspect="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7205" cy="716280"/>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F5E" w:rsidRDefault="007C746E">
    <w:r>
      <w:t xml:space="preserve"> </w:t>
    </w:r>
    <w:r>
      <w:rPr>
        <w:noProof/>
      </w:rPr>
      <w:drawing>
        <wp:anchor distT="114300" distB="114300" distL="114300" distR="114300" simplePos="0" relativeHeight="251658244" behindDoc="0" locked="0" layoutInCell="1" allowOverlap="1">
          <wp:simplePos x="0" y="0"/>
          <wp:positionH relativeFrom="column">
            <wp:posOffset>1</wp:posOffset>
          </wp:positionH>
          <wp:positionV relativeFrom="paragraph">
            <wp:posOffset>-123824</wp:posOffset>
          </wp:positionV>
          <wp:extent cx="1111704" cy="452438"/>
          <wp:effectExtent l="0" t="0" r="0" b="0"/>
          <wp:wrapTopAndBottom distT="114300" distB="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1704" cy="452438"/>
                  </a:xfrm>
                  <a:prstGeom prst="rect">
                    <a:avLst/>
                  </a:prstGeom>
                  <a:ln/>
                </pic:spPr>
              </pic:pic>
            </a:graphicData>
          </a:graphic>
        </wp:anchor>
      </w:drawing>
    </w:r>
    <w:r>
      <w:rPr>
        <w:noProof/>
      </w:rPr>
      <w:drawing>
        <wp:anchor distT="114300" distB="114300" distL="114300" distR="114300" simplePos="0" relativeHeight="251658246" behindDoc="0" locked="0" layoutInCell="1" allowOverlap="1">
          <wp:simplePos x="0" y="0"/>
          <wp:positionH relativeFrom="column">
            <wp:posOffset>3635700</wp:posOffset>
          </wp:positionH>
          <wp:positionV relativeFrom="paragraph">
            <wp:posOffset>-98698</wp:posOffset>
          </wp:positionV>
          <wp:extent cx="2095500" cy="400050"/>
          <wp:effectExtent l="0" t="0" r="0" b="0"/>
          <wp:wrapTopAndBottom distT="114300" distB="114300"/>
          <wp:docPr id="2" name="Imagen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95500" cy="4000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50EC"/>
    <w:multiLevelType w:val="hybridMultilevel"/>
    <w:tmpl w:val="4C5CE822"/>
    <w:lvl w:ilvl="0" w:tplc="283013EE">
      <w:start w:val="1"/>
      <w:numFmt w:val="bullet"/>
      <w:lvlText w:val="•"/>
      <w:lvlJc w:val="left"/>
      <w:pPr>
        <w:tabs>
          <w:tab w:val="num" w:pos="720"/>
        </w:tabs>
        <w:ind w:left="720" w:hanging="360"/>
      </w:pPr>
      <w:rPr>
        <w:rFonts w:ascii="Arial" w:hAnsi="Arial" w:hint="default"/>
      </w:rPr>
    </w:lvl>
    <w:lvl w:ilvl="1" w:tplc="10A4AF5E" w:tentative="1">
      <w:start w:val="1"/>
      <w:numFmt w:val="bullet"/>
      <w:lvlText w:val="•"/>
      <w:lvlJc w:val="left"/>
      <w:pPr>
        <w:tabs>
          <w:tab w:val="num" w:pos="1440"/>
        </w:tabs>
        <w:ind w:left="1440" w:hanging="360"/>
      </w:pPr>
      <w:rPr>
        <w:rFonts w:ascii="Arial" w:hAnsi="Arial" w:hint="default"/>
      </w:rPr>
    </w:lvl>
    <w:lvl w:ilvl="2" w:tplc="1BD647B4" w:tentative="1">
      <w:start w:val="1"/>
      <w:numFmt w:val="bullet"/>
      <w:lvlText w:val="•"/>
      <w:lvlJc w:val="left"/>
      <w:pPr>
        <w:tabs>
          <w:tab w:val="num" w:pos="2160"/>
        </w:tabs>
        <w:ind w:left="2160" w:hanging="360"/>
      </w:pPr>
      <w:rPr>
        <w:rFonts w:ascii="Arial" w:hAnsi="Arial" w:hint="default"/>
      </w:rPr>
    </w:lvl>
    <w:lvl w:ilvl="3" w:tplc="377CE23A" w:tentative="1">
      <w:start w:val="1"/>
      <w:numFmt w:val="bullet"/>
      <w:lvlText w:val="•"/>
      <w:lvlJc w:val="left"/>
      <w:pPr>
        <w:tabs>
          <w:tab w:val="num" w:pos="2880"/>
        </w:tabs>
        <w:ind w:left="2880" w:hanging="360"/>
      </w:pPr>
      <w:rPr>
        <w:rFonts w:ascii="Arial" w:hAnsi="Arial" w:hint="default"/>
      </w:rPr>
    </w:lvl>
    <w:lvl w:ilvl="4" w:tplc="61E4C136" w:tentative="1">
      <w:start w:val="1"/>
      <w:numFmt w:val="bullet"/>
      <w:lvlText w:val="•"/>
      <w:lvlJc w:val="left"/>
      <w:pPr>
        <w:tabs>
          <w:tab w:val="num" w:pos="3600"/>
        </w:tabs>
        <w:ind w:left="3600" w:hanging="360"/>
      </w:pPr>
      <w:rPr>
        <w:rFonts w:ascii="Arial" w:hAnsi="Arial" w:hint="default"/>
      </w:rPr>
    </w:lvl>
    <w:lvl w:ilvl="5" w:tplc="AD9E3092" w:tentative="1">
      <w:start w:val="1"/>
      <w:numFmt w:val="bullet"/>
      <w:lvlText w:val="•"/>
      <w:lvlJc w:val="left"/>
      <w:pPr>
        <w:tabs>
          <w:tab w:val="num" w:pos="4320"/>
        </w:tabs>
        <w:ind w:left="4320" w:hanging="360"/>
      </w:pPr>
      <w:rPr>
        <w:rFonts w:ascii="Arial" w:hAnsi="Arial" w:hint="default"/>
      </w:rPr>
    </w:lvl>
    <w:lvl w:ilvl="6" w:tplc="CE6486D2" w:tentative="1">
      <w:start w:val="1"/>
      <w:numFmt w:val="bullet"/>
      <w:lvlText w:val="•"/>
      <w:lvlJc w:val="left"/>
      <w:pPr>
        <w:tabs>
          <w:tab w:val="num" w:pos="5040"/>
        </w:tabs>
        <w:ind w:left="5040" w:hanging="360"/>
      </w:pPr>
      <w:rPr>
        <w:rFonts w:ascii="Arial" w:hAnsi="Arial" w:hint="default"/>
      </w:rPr>
    </w:lvl>
    <w:lvl w:ilvl="7" w:tplc="AE44F2A0" w:tentative="1">
      <w:start w:val="1"/>
      <w:numFmt w:val="bullet"/>
      <w:lvlText w:val="•"/>
      <w:lvlJc w:val="left"/>
      <w:pPr>
        <w:tabs>
          <w:tab w:val="num" w:pos="5760"/>
        </w:tabs>
        <w:ind w:left="5760" w:hanging="360"/>
      </w:pPr>
      <w:rPr>
        <w:rFonts w:ascii="Arial" w:hAnsi="Arial" w:hint="default"/>
      </w:rPr>
    </w:lvl>
    <w:lvl w:ilvl="8" w:tplc="83CE1994" w:tentative="1">
      <w:start w:val="1"/>
      <w:numFmt w:val="bullet"/>
      <w:lvlText w:val="•"/>
      <w:lvlJc w:val="left"/>
      <w:pPr>
        <w:tabs>
          <w:tab w:val="num" w:pos="6480"/>
        </w:tabs>
        <w:ind w:left="6480" w:hanging="360"/>
      </w:pPr>
      <w:rPr>
        <w:rFonts w:ascii="Arial" w:hAnsi="Arial" w:hint="default"/>
      </w:rPr>
    </w:lvl>
  </w:abstractNum>
  <w:abstractNum w:abstractNumId="1">
    <w:nsid w:val="24434883"/>
    <w:multiLevelType w:val="hybridMultilevel"/>
    <w:tmpl w:val="0466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E4016"/>
    <w:multiLevelType w:val="multilevel"/>
    <w:tmpl w:val="87C28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239040D"/>
    <w:multiLevelType w:val="hybridMultilevel"/>
    <w:tmpl w:val="3CF6096E"/>
    <w:lvl w:ilvl="0" w:tplc="23827526">
      <w:start w:val="1"/>
      <w:numFmt w:val="bullet"/>
      <w:lvlText w:val="•"/>
      <w:lvlJc w:val="left"/>
      <w:pPr>
        <w:tabs>
          <w:tab w:val="num" w:pos="720"/>
        </w:tabs>
        <w:ind w:left="720" w:hanging="360"/>
      </w:pPr>
      <w:rPr>
        <w:rFonts w:ascii="Arial" w:hAnsi="Arial" w:hint="default"/>
      </w:rPr>
    </w:lvl>
    <w:lvl w:ilvl="1" w:tplc="C02254D2" w:tentative="1">
      <w:start w:val="1"/>
      <w:numFmt w:val="bullet"/>
      <w:lvlText w:val="•"/>
      <w:lvlJc w:val="left"/>
      <w:pPr>
        <w:tabs>
          <w:tab w:val="num" w:pos="1440"/>
        </w:tabs>
        <w:ind w:left="1440" w:hanging="360"/>
      </w:pPr>
      <w:rPr>
        <w:rFonts w:ascii="Arial" w:hAnsi="Arial" w:hint="default"/>
      </w:rPr>
    </w:lvl>
    <w:lvl w:ilvl="2" w:tplc="8256AB88" w:tentative="1">
      <w:start w:val="1"/>
      <w:numFmt w:val="bullet"/>
      <w:lvlText w:val="•"/>
      <w:lvlJc w:val="left"/>
      <w:pPr>
        <w:tabs>
          <w:tab w:val="num" w:pos="2160"/>
        </w:tabs>
        <w:ind w:left="2160" w:hanging="360"/>
      </w:pPr>
      <w:rPr>
        <w:rFonts w:ascii="Arial" w:hAnsi="Arial" w:hint="default"/>
      </w:rPr>
    </w:lvl>
    <w:lvl w:ilvl="3" w:tplc="04ACB906" w:tentative="1">
      <w:start w:val="1"/>
      <w:numFmt w:val="bullet"/>
      <w:lvlText w:val="•"/>
      <w:lvlJc w:val="left"/>
      <w:pPr>
        <w:tabs>
          <w:tab w:val="num" w:pos="2880"/>
        </w:tabs>
        <w:ind w:left="2880" w:hanging="360"/>
      </w:pPr>
      <w:rPr>
        <w:rFonts w:ascii="Arial" w:hAnsi="Arial" w:hint="default"/>
      </w:rPr>
    </w:lvl>
    <w:lvl w:ilvl="4" w:tplc="CFDE0AB4" w:tentative="1">
      <w:start w:val="1"/>
      <w:numFmt w:val="bullet"/>
      <w:lvlText w:val="•"/>
      <w:lvlJc w:val="left"/>
      <w:pPr>
        <w:tabs>
          <w:tab w:val="num" w:pos="3600"/>
        </w:tabs>
        <w:ind w:left="3600" w:hanging="360"/>
      </w:pPr>
      <w:rPr>
        <w:rFonts w:ascii="Arial" w:hAnsi="Arial" w:hint="default"/>
      </w:rPr>
    </w:lvl>
    <w:lvl w:ilvl="5" w:tplc="E93C4718" w:tentative="1">
      <w:start w:val="1"/>
      <w:numFmt w:val="bullet"/>
      <w:lvlText w:val="•"/>
      <w:lvlJc w:val="left"/>
      <w:pPr>
        <w:tabs>
          <w:tab w:val="num" w:pos="4320"/>
        </w:tabs>
        <w:ind w:left="4320" w:hanging="360"/>
      </w:pPr>
      <w:rPr>
        <w:rFonts w:ascii="Arial" w:hAnsi="Arial" w:hint="default"/>
      </w:rPr>
    </w:lvl>
    <w:lvl w:ilvl="6" w:tplc="D0388874" w:tentative="1">
      <w:start w:val="1"/>
      <w:numFmt w:val="bullet"/>
      <w:lvlText w:val="•"/>
      <w:lvlJc w:val="left"/>
      <w:pPr>
        <w:tabs>
          <w:tab w:val="num" w:pos="5040"/>
        </w:tabs>
        <w:ind w:left="5040" w:hanging="360"/>
      </w:pPr>
      <w:rPr>
        <w:rFonts w:ascii="Arial" w:hAnsi="Arial" w:hint="default"/>
      </w:rPr>
    </w:lvl>
    <w:lvl w:ilvl="7" w:tplc="44BAE058" w:tentative="1">
      <w:start w:val="1"/>
      <w:numFmt w:val="bullet"/>
      <w:lvlText w:val="•"/>
      <w:lvlJc w:val="left"/>
      <w:pPr>
        <w:tabs>
          <w:tab w:val="num" w:pos="5760"/>
        </w:tabs>
        <w:ind w:left="5760" w:hanging="360"/>
      </w:pPr>
      <w:rPr>
        <w:rFonts w:ascii="Arial" w:hAnsi="Arial" w:hint="default"/>
      </w:rPr>
    </w:lvl>
    <w:lvl w:ilvl="8" w:tplc="281AC59E" w:tentative="1">
      <w:start w:val="1"/>
      <w:numFmt w:val="bullet"/>
      <w:lvlText w:val="•"/>
      <w:lvlJc w:val="left"/>
      <w:pPr>
        <w:tabs>
          <w:tab w:val="num" w:pos="6480"/>
        </w:tabs>
        <w:ind w:left="6480" w:hanging="360"/>
      </w:pPr>
      <w:rPr>
        <w:rFonts w:ascii="Arial" w:hAnsi="Arial" w:hint="default"/>
      </w:rPr>
    </w:lvl>
  </w:abstractNum>
  <w:abstractNum w:abstractNumId="4">
    <w:nsid w:val="32CA28E5"/>
    <w:multiLevelType w:val="hybridMultilevel"/>
    <w:tmpl w:val="3918B5DE"/>
    <w:lvl w:ilvl="0" w:tplc="EDFC8DB0">
      <w:start w:val="1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C820CB1"/>
    <w:multiLevelType w:val="hybridMultilevel"/>
    <w:tmpl w:val="2084E37A"/>
    <w:lvl w:ilvl="0" w:tplc="84040D42">
      <w:start w:val="1"/>
      <w:numFmt w:val="bullet"/>
      <w:lvlText w:val="•"/>
      <w:lvlJc w:val="left"/>
      <w:pPr>
        <w:tabs>
          <w:tab w:val="num" w:pos="720"/>
        </w:tabs>
        <w:ind w:left="720" w:hanging="360"/>
      </w:pPr>
      <w:rPr>
        <w:rFonts w:ascii="Arial" w:hAnsi="Arial" w:hint="default"/>
      </w:rPr>
    </w:lvl>
    <w:lvl w:ilvl="1" w:tplc="F69EA332" w:tentative="1">
      <w:start w:val="1"/>
      <w:numFmt w:val="bullet"/>
      <w:lvlText w:val="•"/>
      <w:lvlJc w:val="left"/>
      <w:pPr>
        <w:tabs>
          <w:tab w:val="num" w:pos="1440"/>
        </w:tabs>
        <w:ind w:left="1440" w:hanging="360"/>
      </w:pPr>
      <w:rPr>
        <w:rFonts w:ascii="Arial" w:hAnsi="Arial" w:hint="default"/>
      </w:rPr>
    </w:lvl>
    <w:lvl w:ilvl="2" w:tplc="3704F7A2" w:tentative="1">
      <w:start w:val="1"/>
      <w:numFmt w:val="bullet"/>
      <w:lvlText w:val="•"/>
      <w:lvlJc w:val="left"/>
      <w:pPr>
        <w:tabs>
          <w:tab w:val="num" w:pos="2160"/>
        </w:tabs>
        <w:ind w:left="2160" w:hanging="360"/>
      </w:pPr>
      <w:rPr>
        <w:rFonts w:ascii="Arial" w:hAnsi="Arial" w:hint="default"/>
      </w:rPr>
    </w:lvl>
    <w:lvl w:ilvl="3" w:tplc="8C32E4A0" w:tentative="1">
      <w:start w:val="1"/>
      <w:numFmt w:val="bullet"/>
      <w:lvlText w:val="•"/>
      <w:lvlJc w:val="left"/>
      <w:pPr>
        <w:tabs>
          <w:tab w:val="num" w:pos="2880"/>
        </w:tabs>
        <w:ind w:left="2880" w:hanging="360"/>
      </w:pPr>
      <w:rPr>
        <w:rFonts w:ascii="Arial" w:hAnsi="Arial" w:hint="default"/>
      </w:rPr>
    </w:lvl>
    <w:lvl w:ilvl="4" w:tplc="8EEA38D4" w:tentative="1">
      <w:start w:val="1"/>
      <w:numFmt w:val="bullet"/>
      <w:lvlText w:val="•"/>
      <w:lvlJc w:val="left"/>
      <w:pPr>
        <w:tabs>
          <w:tab w:val="num" w:pos="3600"/>
        </w:tabs>
        <w:ind w:left="3600" w:hanging="360"/>
      </w:pPr>
      <w:rPr>
        <w:rFonts w:ascii="Arial" w:hAnsi="Arial" w:hint="default"/>
      </w:rPr>
    </w:lvl>
    <w:lvl w:ilvl="5" w:tplc="6A9C841E" w:tentative="1">
      <w:start w:val="1"/>
      <w:numFmt w:val="bullet"/>
      <w:lvlText w:val="•"/>
      <w:lvlJc w:val="left"/>
      <w:pPr>
        <w:tabs>
          <w:tab w:val="num" w:pos="4320"/>
        </w:tabs>
        <w:ind w:left="4320" w:hanging="360"/>
      </w:pPr>
      <w:rPr>
        <w:rFonts w:ascii="Arial" w:hAnsi="Arial" w:hint="default"/>
      </w:rPr>
    </w:lvl>
    <w:lvl w:ilvl="6" w:tplc="094AB9F4" w:tentative="1">
      <w:start w:val="1"/>
      <w:numFmt w:val="bullet"/>
      <w:lvlText w:val="•"/>
      <w:lvlJc w:val="left"/>
      <w:pPr>
        <w:tabs>
          <w:tab w:val="num" w:pos="5040"/>
        </w:tabs>
        <w:ind w:left="5040" w:hanging="360"/>
      </w:pPr>
      <w:rPr>
        <w:rFonts w:ascii="Arial" w:hAnsi="Arial" w:hint="default"/>
      </w:rPr>
    </w:lvl>
    <w:lvl w:ilvl="7" w:tplc="7DE2A30A" w:tentative="1">
      <w:start w:val="1"/>
      <w:numFmt w:val="bullet"/>
      <w:lvlText w:val="•"/>
      <w:lvlJc w:val="left"/>
      <w:pPr>
        <w:tabs>
          <w:tab w:val="num" w:pos="5760"/>
        </w:tabs>
        <w:ind w:left="5760" w:hanging="360"/>
      </w:pPr>
      <w:rPr>
        <w:rFonts w:ascii="Arial" w:hAnsi="Arial" w:hint="default"/>
      </w:rPr>
    </w:lvl>
    <w:lvl w:ilvl="8" w:tplc="26C84E34" w:tentative="1">
      <w:start w:val="1"/>
      <w:numFmt w:val="bullet"/>
      <w:lvlText w:val="•"/>
      <w:lvlJc w:val="left"/>
      <w:pPr>
        <w:tabs>
          <w:tab w:val="num" w:pos="6480"/>
        </w:tabs>
        <w:ind w:left="6480" w:hanging="360"/>
      </w:pPr>
      <w:rPr>
        <w:rFonts w:ascii="Arial" w:hAnsi="Arial" w:hint="default"/>
      </w:rPr>
    </w:lvl>
  </w:abstractNum>
  <w:abstractNum w:abstractNumId="6">
    <w:nsid w:val="4F8A3528"/>
    <w:multiLevelType w:val="hybridMultilevel"/>
    <w:tmpl w:val="E79008D6"/>
    <w:lvl w:ilvl="0" w:tplc="405EDDD2">
      <w:start w:val="1"/>
      <w:numFmt w:val="bullet"/>
      <w:lvlText w:val="•"/>
      <w:lvlJc w:val="left"/>
      <w:pPr>
        <w:tabs>
          <w:tab w:val="num" w:pos="720"/>
        </w:tabs>
        <w:ind w:left="720" w:hanging="360"/>
      </w:pPr>
      <w:rPr>
        <w:rFonts w:ascii="Arial" w:hAnsi="Arial" w:hint="default"/>
      </w:rPr>
    </w:lvl>
    <w:lvl w:ilvl="1" w:tplc="814EEB32" w:tentative="1">
      <w:start w:val="1"/>
      <w:numFmt w:val="bullet"/>
      <w:lvlText w:val="•"/>
      <w:lvlJc w:val="left"/>
      <w:pPr>
        <w:tabs>
          <w:tab w:val="num" w:pos="1440"/>
        </w:tabs>
        <w:ind w:left="1440" w:hanging="360"/>
      </w:pPr>
      <w:rPr>
        <w:rFonts w:ascii="Arial" w:hAnsi="Arial" w:hint="default"/>
      </w:rPr>
    </w:lvl>
    <w:lvl w:ilvl="2" w:tplc="5DF04A20" w:tentative="1">
      <w:start w:val="1"/>
      <w:numFmt w:val="bullet"/>
      <w:lvlText w:val="•"/>
      <w:lvlJc w:val="left"/>
      <w:pPr>
        <w:tabs>
          <w:tab w:val="num" w:pos="2160"/>
        </w:tabs>
        <w:ind w:left="2160" w:hanging="360"/>
      </w:pPr>
      <w:rPr>
        <w:rFonts w:ascii="Arial" w:hAnsi="Arial" w:hint="default"/>
      </w:rPr>
    </w:lvl>
    <w:lvl w:ilvl="3" w:tplc="336885DE" w:tentative="1">
      <w:start w:val="1"/>
      <w:numFmt w:val="bullet"/>
      <w:lvlText w:val="•"/>
      <w:lvlJc w:val="left"/>
      <w:pPr>
        <w:tabs>
          <w:tab w:val="num" w:pos="2880"/>
        </w:tabs>
        <w:ind w:left="2880" w:hanging="360"/>
      </w:pPr>
      <w:rPr>
        <w:rFonts w:ascii="Arial" w:hAnsi="Arial" w:hint="default"/>
      </w:rPr>
    </w:lvl>
    <w:lvl w:ilvl="4" w:tplc="25188D1C" w:tentative="1">
      <w:start w:val="1"/>
      <w:numFmt w:val="bullet"/>
      <w:lvlText w:val="•"/>
      <w:lvlJc w:val="left"/>
      <w:pPr>
        <w:tabs>
          <w:tab w:val="num" w:pos="3600"/>
        </w:tabs>
        <w:ind w:left="3600" w:hanging="360"/>
      </w:pPr>
      <w:rPr>
        <w:rFonts w:ascii="Arial" w:hAnsi="Arial" w:hint="default"/>
      </w:rPr>
    </w:lvl>
    <w:lvl w:ilvl="5" w:tplc="02745E22" w:tentative="1">
      <w:start w:val="1"/>
      <w:numFmt w:val="bullet"/>
      <w:lvlText w:val="•"/>
      <w:lvlJc w:val="left"/>
      <w:pPr>
        <w:tabs>
          <w:tab w:val="num" w:pos="4320"/>
        </w:tabs>
        <w:ind w:left="4320" w:hanging="360"/>
      </w:pPr>
      <w:rPr>
        <w:rFonts w:ascii="Arial" w:hAnsi="Arial" w:hint="default"/>
      </w:rPr>
    </w:lvl>
    <w:lvl w:ilvl="6" w:tplc="D94CC55A" w:tentative="1">
      <w:start w:val="1"/>
      <w:numFmt w:val="bullet"/>
      <w:lvlText w:val="•"/>
      <w:lvlJc w:val="left"/>
      <w:pPr>
        <w:tabs>
          <w:tab w:val="num" w:pos="5040"/>
        </w:tabs>
        <w:ind w:left="5040" w:hanging="360"/>
      </w:pPr>
      <w:rPr>
        <w:rFonts w:ascii="Arial" w:hAnsi="Arial" w:hint="default"/>
      </w:rPr>
    </w:lvl>
    <w:lvl w:ilvl="7" w:tplc="8B9C8A8C" w:tentative="1">
      <w:start w:val="1"/>
      <w:numFmt w:val="bullet"/>
      <w:lvlText w:val="•"/>
      <w:lvlJc w:val="left"/>
      <w:pPr>
        <w:tabs>
          <w:tab w:val="num" w:pos="5760"/>
        </w:tabs>
        <w:ind w:left="5760" w:hanging="360"/>
      </w:pPr>
      <w:rPr>
        <w:rFonts w:ascii="Arial" w:hAnsi="Arial" w:hint="default"/>
      </w:rPr>
    </w:lvl>
    <w:lvl w:ilvl="8" w:tplc="AA2E425E" w:tentative="1">
      <w:start w:val="1"/>
      <w:numFmt w:val="bullet"/>
      <w:lvlText w:val="•"/>
      <w:lvlJc w:val="left"/>
      <w:pPr>
        <w:tabs>
          <w:tab w:val="num" w:pos="6480"/>
        </w:tabs>
        <w:ind w:left="6480" w:hanging="360"/>
      </w:pPr>
      <w:rPr>
        <w:rFonts w:ascii="Arial" w:hAnsi="Arial" w:hint="default"/>
      </w:rPr>
    </w:lvl>
  </w:abstractNum>
  <w:abstractNum w:abstractNumId="7">
    <w:nsid w:val="54161CB4"/>
    <w:multiLevelType w:val="hybridMultilevel"/>
    <w:tmpl w:val="A464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D203D9"/>
    <w:multiLevelType w:val="hybridMultilevel"/>
    <w:tmpl w:val="788C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627D2"/>
    <w:multiLevelType w:val="hybridMultilevel"/>
    <w:tmpl w:val="D8AC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668A1"/>
    <w:multiLevelType w:val="hybridMultilevel"/>
    <w:tmpl w:val="46DE0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995594"/>
    <w:multiLevelType w:val="hybridMultilevel"/>
    <w:tmpl w:val="B260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14FA7"/>
    <w:multiLevelType w:val="hybridMultilevel"/>
    <w:tmpl w:val="190653D0"/>
    <w:lvl w:ilvl="0" w:tplc="BDF873C8">
      <w:start w:val="1"/>
      <w:numFmt w:val="bullet"/>
      <w:lvlText w:val="•"/>
      <w:lvlJc w:val="left"/>
      <w:pPr>
        <w:tabs>
          <w:tab w:val="num" w:pos="720"/>
        </w:tabs>
        <w:ind w:left="720" w:hanging="360"/>
      </w:pPr>
      <w:rPr>
        <w:rFonts w:ascii="Arial" w:hAnsi="Arial" w:hint="default"/>
      </w:rPr>
    </w:lvl>
    <w:lvl w:ilvl="1" w:tplc="2F3A08D2" w:tentative="1">
      <w:start w:val="1"/>
      <w:numFmt w:val="bullet"/>
      <w:lvlText w:val="•"/>
      <w:lvlJc w:val="left"/>
      <w:pPr>
        <w:tabs>
          <w:tab w:val="num" w:pos="1440"/>
        </w:tabs>
        <w:ind w:left="1440" w:hanging="360"/>
      </w:pPr>
      <w:rPr>
        <w:rFonts w:ascii="Arial" w:hAnsi="Arial" w:hint="default"/>
      </w:rPr>
    </w:lvl>
    <w:lvl w:ilvl="2" w:tplc="C55045E4" w:tentative="1">
      <w:start w:val="1"/>
      <w:numFmt w:val="bullet"/>
      <w:lvlText w:val="•"/>
      <w:lvlJc w:val="left"/>
      <w:pPr>
        <w:tabs>
          <w:tab w:val="num" w:pos="2160"/>
        </w:tabs>
        <w:ind w:left="2160" w:hanging="360"/>
      </w:pPr>
      <w:rPr>
        <w:rFonts w:ascii="Arial" w:hAnsi="Arial" w:hint="default"/>
      </w:rPr>
    </w:lvl>
    <w:lvl w:ilvl="3" w:tplc="B46AD038" w:tentative="1">
      <w:start w:val="1"/>
      <w:numFmt w:val="bullet"/>
      <w:lvlText w:val="•"/>
      <w:lvlJc w:val="left"/>
      <w:pPr>
        <w:tabs>
          <w:tab w:val="num" w:pos="2880"/>
        </w:tabs>
        <w:ind w:left="2880" w:hanging="360"/>
      </w:pPr>
      <w:rPr>
        <w:rFonts w:ascii="Arial" w:hAnsi="Arial" w:hint="default"/>
      </w:rPr>
    </w:lvl>
    <w:lvl w:ilvl="4" w:tplc="B19AD7E8" w:tentative="1">
      <w:start w:val="1"/>
      <w:numFmt w:val="bullet"/>
      <w:lvlText w:val="•"/>
      <w:lvlJc w:val="left"/>
      <w:pPr>
        <w:tabs>
          <w:tab w:val="num" w:pos="3600"/>
        </w:tabs>
        <w:ind w:left="3600" w:hanging="360"/>
      </w:pPr>
      <w:rPr>
        <w:rFonts w:ascii="Arial" w:hAnsi="Arial" w:hint="default"/>
      </w:rPr>
    </w:lvl>
    <w:lvl w:ilvl="5" w:tplc="83745954" w:tentative="1">
      <w:start w:val="1"/>
      <w:numFmt w:val="bullet"/>
      <w:lvlText w:val="•"/>
      <w:lvlJc w:val="left"/>
      <w:pPr>
        <w:tabs>
          <w:tab w:val="num" w:pos="4320"/>
        </w:tabs>
        <w:ind w:left="4320" w:hanging="360"/>
      </w:pPr>
      <w:rPr>
        <w:rFonts w:ascii="Arial" w:hAnsi="Arial" w:hint="default"/>
      </w:rPr>
    </w:lvl>
    <w:lvl w:ilvl="6" w:tplc="643CA8B0" w:tentative="1">
      <w:start w:val="1"/>
      <w:numFmt w:val="bullet"/>
      <w:lvlText w:val="•"/>
      <w:lvlJc w:val="left"/>
      <w:pPr>
        <w:tabs>
          <w:tab w:val="num" w:pos="5040"/>
        </w:tabs>
        <w:ind w:left="5040" w:hanging="360"/>
      </w:pPr>
      <w:rPr>
        <w:rFonts w:ascii="Arial" w:hAnsi="Arial" w:hint="default"/>
      </w:rPr>
    </w:lvl>
    <w:lvl w:ilvl="7" w:tplc="F92E0782" w:tentative="1">
      <w:start w:val="1"/>
      <w:numFmt w:val="bullet"/>
      <w:lvlText w:val="•"/>
      <w:lvlJc w:val="left"/>
      <w:pPr>
        <w:tabs>
          <w:tab w:val="num" w:pos="5760"/>
        </w:tabs>
        <w:ind w:left="5760" w:hanging="360"/>
      </w:pPr>
      <w:rPr>
        <w:rFonts w:ascii="Arial" w:hAnsi="Arial" w:hint="default"/>
      </w:rPr>
    </w:lvl>
    <w:lvl w:ilvl="8" w:tplc="42C2A206" w:tentative="1">
      <w:start w:val="1"/>
      <w:numFmt w:val="bullet"/>
      <w:lvlText w:val="•"/>
      <w:lvlJc w:val="left"/>
      <w:pPr>
        <w:tabs>
          <w:tab w:val="num" w:pos="6480"/>
        </w:tabs>
        <w:ind w:left="6480" w:hanging="360"/>
      </w:pPr>
      <w:rPr>
        <w:rFonts w:ascii="Arial" w:hAnsi="Arial" w:hint="default"/>
      </w:rPr>
    </w:lvl>
  </w:abstractNum>
  <w:abstractNum w:abstractNumId="13">
    <w:nsid w:val="76A85646"/>
    <w:multiLevelType w:val="hybridMultilevel"/>
    <w:tmpl w:val="704A46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77223636"/>
    <w:multiLevelType w:val="hybridMultilevel"/>
    <w:tmpl w:val="F6D4D34C"/>
    <w:lvl w:ilvl="0" w:tplc="A440BA38">
      <w:start w:val="1"/>
      <w:numFmt w:val="bullet"/>
      <w:lvlText w:val="•"/>
      <w:lvlJc w:val="left"/>
      <w:pPr>
        <w:tabs>
          <w:tab w:val="num" w:pos="720"/>
        </w:tabs>
        <w:ind w:left="720" w:hanging="360"/>
      </w:pPr>
      <w:rPr>
        <w:rFonts w:ascii="Arial" w:hAnsi="Arial" w:hint="default"/>
      </w:rPr>
    </w:lvl>
    <w:lvl w:ilvl="1" w:tplc="8910D0BA" w:tentative="1">
      <w:start w:val="1"/>
      <w:numFmt w:val="bullet"/>
      <w:lvlText w:val="•"/>
      <w:lvlJc w:val="left"/>
      <w:pPr>
        <w:tabs>
          <w:tab w:val="num" w:pos="1440"/>
        </w:tabs>
        <w:ind w:left="1440" w:hanging="360"/>
      </w:pPr>
      <w:rPr>
        <w:rFonts w:ascii="Arial" w:hAnsi="Arial" w:hint="default"/>
      </w:rPr>
    </w:lvl>
    <w:lvl w:ilvl="2" w:tplc="2606F636" w:tentative="1">
      <w:start w:val="1"/>
      <w:numFmt w:val="bullet"/>
      <w:lvlText w:val="•"/>
      <w:lvlJc w:val="left"/>
      <w:pPr>
        <w:tabs>
          <w:tab w:val="num" w:pos="2160"/>
        </w:tabs>
        <w:ind w:left="2160" w:hanging="360"/>
      </w:pPr>
      <w:rPr>
        <w:rFonts w:ascii="Arial" w:hAnsi="Arial" w:hint="default"/>
      </w:rPr>
    </w:lvl>
    <w:lvl w:ilvl="3" w:tplc="F5EE2C40" w:tentative="1">
      <w:start w:val="1"/>
      <w:numFmt w:val="bullet"/>
      <w:lvlText w:val="•"/>
      <w:lvlJc w:val="left"/>
      <w:pPr>
        <w:tabs>
          <w:tab w:val="num" w:pos="2880"/>
        </w:tabs>
        <w:ind w:left="2880" w:hanging="360"/>
      </w:pPr>
      <w:rPr>
        <w:rFonts w:ascii="Arial" w:hAnsi="Arial" w:hint="default"/>
      </w:rPr>
    </w:lvl>
    <w:lvl w:ilvl="4" w:tplc="EC22828C" w:tentative="1">
      <w:start w:val="1"/>
      <w:numFmt w:val="bullet"/>
      <w:lvlText w:val="•"/>
      <w:lvlJc w:val="left"/>
      <w:pPr>
        <w:tabs>
          <w:tab w:val="num" w:pos="3600"/>
        </w:tabs>
        <w:ind w:left="3600" w:hanging="360"/>
      </w:pPr>
      <w:rPr>
        <w:rFonts w:ascii="Arial" w:hAnsi="Arial" w:hint="default"/>
      </w:rPr>
    </w:lvl>
    <w:lvl w:ilvl="5" w:tplc="93A0E98A" w:tentative="1">
      <w:start w:val="1"/>
      <w:numFmt w:val="bullet"/>
      <w:lvlText w:val="•"/>
      <w:lvlJc w:val="left"/>
      <w:pPr>
        <w:tabs>
          <w:tab w:val="num" w:pos="4320"/>
        </w:tabs>
        <w:ind w:left="4320" w:hanging="360"/>
      </w:pPr>
      <w:rPr>
        <w:rFonts w:ascii="Arial" w:hAnsi="Arial" w:hint="default"/>
      </w:rPr>
    </w:lvl>
    <w:lvl w:ilvl="6" w:tplc="F8E4D056" w:tentative="1">
      <w:start w:val="1"/>
      <w:numFmt w:val="bullet"/>
      <w:lvlText w:val="•"/>
      <w:lvlJc w:val="left"/>
      <w:pPr>
        <w:tabs>
          <w:tab w:val="num" w:pos="5040"/>
        </w:tabs>
        <w:ind w:left="5040" w:hanging="360"/>
      </w:pPr>
      <w:rPr>
        <w:rFonts w:ascii="Arial" w:hAnsi="Arial" w:hint="default"/>
      </w:rPr>
    </w:lvl>
    <w:lvl w:ilvl="7" w:tplc="F3E407DE" w:tentative="1">
      <w:start w:val="1"/>
      <w:numFmt w:val="bullet"/>
      <w:lvlText w:val="•"/>
      <w:lvlJc w:val="left"/>
      <w:pPr>
        <w:tabs>
          <w:tab w:val="num" w:pos="5760"/>
        </w:tabs>
        <w:ind w:left="5760" w:hanging="360"/>
      </w:pPr>
      <w:rPr>
        <w:rFonts w:ascii="Arial" w:hAnsi="Arial" w:hint="default"/>
      </w:rPr>
    </w:lvl>
    <w:lvl w:ilvl="8" w:tplc="197E6BE0" w:tentative="1">
      <w:start w:val="1"/>
      <w:numFmt w:val="bullet"/>
      <w:lvlText w:val="•"/>
      <w:lvlJc w:val="left"/>
      <w:pPr>
        <w:tabs>
          <w:tab w:val="num" w:pos="6480"/>
        </w:tabs>
        <w:ind w:left="6480" w:hanging="360"/>
      </w:pPr>
      <w:rPr>
        <w:rFonts w:ascii="Arial" w:hAnsi="Arial" w:hint="default"/>
      </w:rPr>
    </w:lvl>
  </w:abstractNum>
  <w:abstractNum w:abstractNumId="15">
    <w:nsid w:val="77A665FA"/>
    <w:multiLevelType w:val="hybridMultilevel"/>
    <w:tmpl w:val="C9D2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C2722"/>
    <w:multiLevelType w:val="hybridMultilevel"/>
    <w:tmpl w:val="051429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4"/>
  </w:num>
  <w:num w:numId="4">
    <w:abstractNumId w:val="8"/>
  </w:num>
  <w:num w:numId="5">
    <w:abstractNumId w:val="1"/>
  </w:num>
  <w:num w:numId="6">
    <w:abstractNumId w:val="0"/>
  </w:num>
  <w:num w:numId="7">
    <w:abstractNumId w:val="9"/>
  </w:num>
  <w:num w:numId="8">
    <w:abstractNumId w:val="6"/>
  </w:num>
  <w:num w:numId="9">
    <w:abstractNumId w:val="10"/>
  </w:num>
  <w:num w:numId="10">
    <w:abstractNumId w:val="5"/>
  </w:num>
  <w:num w:numId="11">
    <w:abstractNumId w:val="7"/>
  </w:num>
  <w:num w:numId="12">
    <w:abstractNumId w:val="15"/>
  </w:num>
  <w:num w:numId="13">
    <w:abstractNumId w:val="14"/>
  </w:num>
  <w:num w:numId="14">
    <w:abstractNumId w:val="11"/>
  </w:num>
  <w:num w:numId="15">
    <w:abstractNumId w:val="12"/>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6146"/>
    <o:shapelayout v:ext="edit">
      <o:idmap v:ext="edit" data="1"/>
    </o:shapelayout>
  </w:hdrShapeDefaults>
  <w:footnotePr>
    <w:footnote w:id="-1"/>
    <w:footnote w:id="0"/>
    <w:footnote w:id="1"/>
  </w:footnotePr>
  <w:endnotePr>
    <w:endnote w:id="-1"/>
    <w:endnote w:id="0"/>
    <w:endnote w:id="1"/>
  </w:endnotePr>
  <w:compat/>
  <w:rsids>
    <w:rsidRoot w:val="00780F5E"/>
    <w:rsid w:val="00001257"/>
    <w:rsid w:val="000015CE"/>
    <w:rsid w:val="000035CA"/>
    <w:rsid w:val="00004524"/>
    <w:rsid w:val="00004A61"/>
    <w:rsid w:val="00004E88"/>
    <w:rsid w:val="000056CD"/>
    <w:rsid w:val="0000614B"/>
    <w:rsid w:val="00006E75"/>
    <w:rsid w:val="000115A8"/>
    <w:rsid w:val="0002282C"/>
    <w:rsid w:val="000275E0"/>
    <w:rsid w:val="00031040"/>
    <w:rsid w:val="00033432"/>
    <w:rsid w:val="00035690"/>
    <w:rsid w:val="00036547"/>
    <w:rsid w:val="00041504"/>
    <w:rsid w:val="00041834"/>
    <w:rsid w:val="000464C0"/>
    <w:rsid w:val="000555D0"/>
    <w:rsid w:val="0005666A"/>
    <w:rsid w:val="00057326"/>
    <w:rsid w:val="000618B0"/>
    <w:rsid w:val="00065261"/>
    <w:rsid w:val="00065AEF"/>
    <w:rsid w:val="00071C61"/>
    <w:rsid w:val="00072959"/>
    <w:rsid w:val="000735C2"/>
    <w:rsid w:val="00073F2D"/>
    <w:rsid w:val="00075272"/>
    <w:rsid w:val="0007709D"/>
    <w:rsid w:val="00077D50"/>
    <w:rsid w:val="000804A0"/>
    <w:rsid w:val="00082C2A"/>
    <w:rsid w:val="000840D7"/>
    <w:rsid w:val="000843D2"/>
    <w:rsid w:val="000856CB"/>
    <w:rsid w:val="00086C44"/>
    <w:rsid w:val="00090189"/>
    <w:rsid w:val="00093DA8"/>
    <w:rsid w:val="000941AC"/>
    <w:rsid w:val="000A049C"/>
    <w:rsid w:val="000A0F6F"/>
    <w:rsid w:val="000A530B"/>
    <w:rsid w:val="000A5D5A"/>
    <w:rsid w:val="000A798A"/>
    <w:rsid w:val="000B6B88"/>
    <w:rsid w:val="000C441F"/>
    <w:rsid w:val="000C57A2"/>
    <w:rsid w:val="000C5DB3"/>
    <w:rsid w:val="000C5E55"/>
    <w:rsid w:val="000C7E0F"/>
    <w:rsid w:val="000D2664"/>
    <w:rsid w:val="000D2B9D"/>
    <w:rsid w:val="000D33E9"/>
    <w:rsid w:val="000D4741"/>
    <w:rsid w:val="000D52F6"/>
    <w:rsid w:val="000E26ED"/>
    <w:rsid w:val="000E33D2"/>
    <w:rsid w:val="000E474C"/>
    <w:rsid w:val="000E552C"/>
    <w:rsid w:val="000F0CC8"/>
    <w:rsid w:val="000F1E50"/>
    <w:rsid w:val="000F2F2C"/>
    <w:rsid w:val="000F3325"/>
    <w:rsid w:val="000F3F1E"/>
    <w:rsid w:val="00101983"/>
    <w:rsid w:val="00101D1D"/>
    <w:rsid w:val="00101E72"/>
    <w:rsid w:val="00102CAD"/>
    <w:rsid w:val="001046B1"/>
    <w:rsid w:val="001068DB"/>
    <w:rsid w:val="00107D70"/>
    <w:rsid w:val="001151E1"/>
    <w:rsid w:val="00116A15"/>
    <w:rsid w:val="00120735"/>
    <w:rsid w:val="00120FB5"/>
    <w:rsid w:val="00120FC2"/>
    <w:rsid w:val="00122672"/>
    <w:rsid w:val="001248C8"/>
    <w:rsid w:val="00125F2D"/>
    <w:rsid w:val="001276EA"/>
    <w:rsid w:val="0013255A"/>
    <w:rsid w:val="00135EF8"/>
    <w:rsid w:val="00141AC2"/>
    <w:rsid w:val="0014247C"/>
    <w:rsid w:val="0014466A"/>
    <w:rsid w:val="00146FB6"/>
    <w:rsid w:val="00150991"/>
    <w:rsid w:val="00150B6D"/>
    <w:rsid w:val="001554BE"/>
    <w:rsid w:val="00157286"/>
    <w:rsid w:val="001578C1"/>
    <w:rsid w:val="0016099A"/>
    <w:rsid w:val="0016112B"/>
    <w:rsid w:val="00161A0C"/>
    <w:rsid w:val="00163939"/>
    <w:rsid w:val="001647FE"/>
    <w:rsid w:val="00164B99"/>
    <w:rsid w:val="00165DCD"/>
    <w:rsid w:val="00167784"/>
    <w:rsid w:val="00167D1B"/>
    <w:rsid w:val="00175FFD"/>
    <w:rsid w:val="0017790F"/>
    <w:rsid w:val="00180718"/>
    <w:rsid w:val="0018125A"/>
    <w:rsid w:val="00181827"/>
    <w:rsid w:val="00182758"/>
    <w:rsid w:val="00185427"/>
    <w:rsid w:val="001854AE"/>
    <w:rsid w:val="00191E2C"/>
    <w:rsid w:val="001923FD"/>
    <w:rsid w:val="001955EC"/>
    <w:rsid w:val="001A19E3"/>
    <w:rsid w:val="001A2C59"/>
    <w:rsid w:val="001A472D"/>
    <w:rsid w:val="001A7540"/>
    <w:rsid w:val="001B049C"/>
    <w:rsid w:val="001B3979"/>
    <w:rsid w:val="001B3E7F"/>
    <w:rsid w:val="001B49F7"/>
    <w:rsid w:val="001C294E"/>
    <w:rsid w:val="001C3513"/>
    <w:rsid w:val="001C38B8"/>
    <w:rsid w:val="001D1357"/>
    <w:rsid w:val="001D3E7C"/>
    <w:rsid w:val="001D40F2"/>
    <w:rsid w:val="001E1D73"/>
    <w:rsid w:val="001E2396"/>
    <w:rsid w:val="001E349A"/>
    <w:rsid w:val="001E5105"/>
    <w:rsid w:val="001E6E21"/>
    <w:rsid w:val="001E74D7"/>
    <w:rsid w:val="001F1BB5"/>
    <w:rsid w:val="001F42BA"/>
    <w:rsid w:val="001F46AE"/>
    <w:rsid w:val="00202970"/>
    <w:rsid w:val="002109ED"/>
    <w:rsid w:val="00211A67"/>
    <w:rsid w:val="00211DE0"/>
    <w:rsid w:val="00211DFA"/>
    <w:rsid w:val="00213363"/>
    <w:rsid w:val="00215459"/>
    <w:rsid w:val="002175E8"/>
    <w:rsid w:val="0022087E"/>
    <w:rsid w:val="00224477"/>
    <w:rsid w:val="00226236"/>
    <w:rsid w:val="0023034C"/>
    <w:rsid w:val="00236A5C"/>
    <w:rsid w:val="00236DC5"/>
    <w:rsid w:val="0023767B"/>
    <w:rsid w:val="002425B1"/>
    <w:rsid w:val="002449B4"/>
    <w:rsid w:val="002461EB"/>
    <w:rsid w:val="00246C5C"/>
    <w:rsid w:val="0025063E"/>
    <w:rsid w:val="0025167E"/>
    <w:rsid w:val="002600BB"/>
    <w:rsid w:val="002625B5"/>
    <w:rsid w:val="0026289E"/>
    <w:rsid w:val="00263BFC"/>
    <w:rsid w:val="002647ED"/>
    <w:rsid w:val="00264E47"/>
    <w:rsid w:val="00270CC7"/>
    <w:rsid w:val="0027674F"/>
    <w:rsid w:val="002772BE"/>
    <w:rsid w:val="00283979"/>
    <w:rsid w:val="00286DE3"/>
    <w:rsid w:val="002879F2"/>
    <w:rsid w:val="00294622"/>
    <w:rsid w:val="002946BE"/>
    <w:rsid w:val="0029590B"/>
    <w:rsid w:val="00296144"/>
    <w:rsid w:val="002974E5"/>
    <w:rsid w:val="002A02B0"/>
    <w:rsid w:val="002A0917"/>
    <w:rsid w:val="002A2802"/>
    <w:rsid w:val="002A345C"/>
    <w:rsid w:val="002A375C"/>
    <w:rsid w:val="002A6727"/>
    <w:rsid w:val="002B4E73"/>
    <w:rsid w:val="002B7A8A"/>
    <w:rsid w:val="002C0255"/>
    <w:rsid w:val="002C12C5"/>
    <w:rsid w:val="002C3731"/>
    <w:rsid w:val="002C5043"/>
    <w:rsid w:val="002C55DF"/>
    <w:rsid w:val="002C7B8A"/>
    <w:rsid w:val="002D0C62"/>
    <w:rsid w:val="002D335F"/>
    <w:rsid w:val="002D7A89"/>
    <w:rsid w:val="002E1B05"/>
    <w:rsid w:val="002E354A"/>
    <w:rsid w:val="002E47FC"/>
    <w:rsid w:val="002F084B"/>
    <w:rsid w:val="002F0877"/>
    <w:rsid w:val="002F0C92"/>
    <w:rsid w:val="002F0D19"/>
    <w:rsid w:val="002F2640"/>
    <w:rsid w:val="003006DE"/>
    <w:rsid w:val="00300A2E"/>
    <w:rsid w:val="00304EA6"/>
    <w:rsid w:val="00305128"/>
    <w:rsid w:val="0030784A"/>
    <w:rsid w:val="003102C0"/>
    <w:rsid w:val="00311F1E"/>
    <w:rsid w:val="00313B86"/>
    <w:rsid w:val="00322212"/>
    <w:rsid w:val="0032374D"/>
    <w:rsid w:val="0032661F"/>
    <w:rsid w:val="00327A03"/>
    <w:rsid w:val="00330750"/>
    <w:rsid w:val="003319C3"/>
    <w:rsid w:val="00332FC5"/>
    <w:rsid w:val="00333A00"/>
    <w:rsid w:val="003364EC"/>
    <w:rsid w:val="00341096"/>
    <w:rsid w:val="003459B1"/>
    <w:rsid w:val="00351077"/>
    <w:rsid w:val="00357133"/>
    <w:rsid w:val="003602A5"/>
    <w:rsid w:val="00363370"/>
    <w:rsid w:val="0037010A"/>
    <w:rsid w:val="00371817"/>
    <w:rsid w:val="003721A3"/>
    <w:rsid w:val="0037333E"/>
    <w:rsid w:val="00373B56"/>
    <w:rsid w:val="00380748"/>
    <w:rsid w:val="003808B6"/>
    <w:rsid w:val="00381CA9"/>
    <w:rsid w:val="003858CD"/>
    <w:rsid w:val="00385C07"/>
    <w:rsid w:val="00394721"/>
    <w:rsid w:val="003A318B"/>
    <w:rsid w:val="003A38A0"/>
    <w:rsid w:val="003A4AAA"/>
    <w:rsid w:val="003A4EAC"/>
    <w:rsid w:val="003B280C"/>
    <w:rsid w:val="003B3572"/>
    <w:rsid w:val="003B3C7E"/>
    <w:rsid w:val="003B5248"/>
    <w:rsid w:val="003B667F"/>
    <w:rsid w:val="003C2854"/>
    <w:rsid w:val="003C31EF"/>
    <w:rsid w:val="003C5C3B"/>
    <w:rsid w:val="003D0C0F"/>
    <w:rsid w:val="003D1ADC"/>
    <w:rsid w:val="003D4DBD"/>
    <w:rsid w:val="003D4F63"/>
    <w:rsid w:val="003D6A9D"/>
    <w:rsid w:val="003D7400"/>
    <w:rsid w:val="003E7A62"/>
    <w:rsid w:val="003F4E03"/>
    <w:rsid w:val="003F60DF"/>
    <w:rsid w:val="003F66C5"/>
    <w:rsid w:val="003F6F0C"/>
    <w:rsid w:val="003F7725"/>
    <w:rsid w:val="00401890"/>
    <w:rsid w:val="00401D6C"/>
    <w:rsid w:val="00401F3E"/>
    <w:rsid w:val="004044BB"/>
    <w:rsid w:val="004050A2"/>
    <w:rsid w:val="004053C6"/>
    <w:rsid w:val="00407CBA"/>
    <w:rsid w:val="00411BFF"/>
    <w:rsid w:val="00414FB3"/>
    <w:rsid w:val="00417BB9"/>
    <w:rsid w:val="00425550"/>
    <w:rsid w:val="00431851"/>
    <w:rsid w:val="00433CD5"/>
    <w:rsid w:val="0043679F"/>
    <w:rsid w:val="00441524"/>
    <w:rsid w:val="004426DA"/>
    <w:rsid w:val="00442D1E"/>
    <w:rsid w:val="00442EAF"/>
    <w:rsid w:val="00444542"/>
    <w:rsid w:val="00446023"/>
    <w:rsid w:val="00447137"/>
    <w:rsid w:val="004503AF"/>
    <w:rsid w:val="00452EEA"/>
    <w:rsid w:val="004536C3"/>
    <w:rsid w:val="004545D0"/>
    <w:rsid w:val="00454968"/>
    <w:rsid w:val="00461F57"/>
    <w:rsid w:val="00467F39"/>
    <w:rsid w:val="004730DC"/>
    <w:rsid w:val="00473B7D"/>
    <w:rsid w:val="00473E72"/>
    <w:rsid w:val="004805F3"/>
    <w:rsid w:val="00481B7A"/>
    <w:rsid w:val="00492848"/>
    <w:rsid w:val="00493589"/>
    <w:rsid w:val="0049557B"/>
    <w:rsid w:val="004973AC"/>
    <w:rsid w:val="004A06C7"/>
    <w:rsid w:val="004A12D3"/>
    <w:rsid w:val="004A4AD8"/>
    <w:rsid w:val="004A52E9"/>
    <w:rsid w:val="004B1B49"/>
    <w:rsid w:val="004B4CDF"/>
    <w:rsid w:val="004B63D7"/>
    <w:rsid w:val="004C003A"/>
    <w:rsid w:val="004C0D25"/>
    <w:rsid w:val="004C1B3A"/>
    <w:rsid w:val="004C50AE"/>
    <w:rsid w:val="004C534E"/>
    <w:rsid w:val="004C53E3"/>
    <w:rsid w:val="004C67E8"/>
    <w:rsid w:val="004D112F"/>
    <w:rsid w:val="004D2644"/>
    <w:rsid w:val="004D381B"/>
    <w:rsid w:val="004D3BD0"/>
    <w:rsid w:val="004D4E1C"/>
    <w:rsid w:val="004D5060"/>
    <w:rsid w:val="004D5175"/>
    <w:rsid w:val="004D5486"/>
    <w:rsid w:val="004D7C42"/>
    <w:rsid w:val="004E3390"/>
    <w:rsid w:val="004E3A36"/>
    <w:rsid w:val="004E3AAD"/>
    <w:rsid w:val="004E4376"/>
    <w:rsid w:val="004E4D1D"/>
    <w:rsid w:val="004F2144"/>
    <w:rsid w:val="004F2F04"/>
    <w:rsid w:val="004F48EE"/>
    <w:rsid w:val="004F79C1"/>
    <w:rsid w:val="005032A7"/>
    <w:rsid w:val="00504A5A"/>
    <w:rsid w:val="0050555A"/>
    <w:rsid w:val="0050669A"/>
    <w:rsid w:val="00506A87"/>
    <w:rsid w:val="0051013D"/>
    <w:rsid w:val="00514C9D"/>
    <w:rsid w:val="00515196"/>
    <w:rsid w:val="005168C5"/>
    <w:rsid w:val="00516A74"/>
    <w:rsid w:val="00516C05"/>
    <w:rsid w:val="00521CED"/>
    <w:rsid w:val="00525841"/>
    <w:rsid w:val="00530E5E"/>
    <w:rsid w:val="00531613"/>
    <w:rsid w:val="00531ECA"/>
    <w:rsid w:val="0053274C"/>
    <w:rsid w:val="00534E7D"/>
    <w:rsid w:val="0053573C"/>
    <w:rsid w:val="005400E3"/>
    <w:rsid w:val="005574D4"/>
    <w:rsid w:val="0056326E"/>
    <w:rsid w:val="00564CB8"/>
    <w:rsid w:val="00566406"/>
    <w:rsid w:val="00566C9B"/>
    <w:rsid w:val="00566D0F"/>
    <w:rsid w:val="00570DEF"/>
    <w:rsid w:val="0057290B"/>
    <w:rsid w:val="00573FEC"/>
    <w:rsid w:val="00575626"/>
    <w:rsid w:val="00576462"/>
    <w:rsid w:val="005876E3"/>
    <w:rsid w:val="00587B1F"/>
    <w:rsid w:val="00587EE6"/>
    <w:rsid w:val="00590304"/>
    <w:rsid w:val="0059069B"/>
    <w:rsid w:val="00591C77"/>
    <w:rsid w:val="00594C3D"/>
    <w:rsid w:val="00597B1C"/>
    <w:rsid w:val="005A0FAE"/>
    <w:rsid w:val="005A16CE"/>
    <w:rsid w:val="005A3FA7"/>
    <w:rsid w:val="005A7458"/>
    <w:rsid w:val="005B6D63"/>
    <w:rsid w:val="005C73C0"/>
    <w:rsid w:val="005C74B9"/>
    <w:rsid w:val="005D1EB1"/>
    <w:rsid w:val="005D4419"/>
    <w:rsid w:val="005D454F"/>
    <w:rsid w:val="005D603C"/>
    <w:rsid w:val="005D6C68"/>
    <w:rsid w:val="005E0203"/>
    <w:rsid w:val="005E4514"/>
    <w:rsid w:val="005E4DC2"/>
    <w:rsid w:val="005E7938"/>
    <w:rsid w:val="005F1E68"/>
    <w:rsid w:val="005F588A"/>
    <w:rsid w:val="00601051"/>
    <w:rsid w:val="006043E4"/>
    <w:rsid w:val="00606869"/>
    <w:rsid w:val="00607058"/>
    <w:rsid w:val="00610060"/>
    <w:rsid w:val="0061209F"/>
    <w:rsid w:val="0061222C"/>
    <w:rsid w:val="006126C2"/>
    <w:rsid w:val="00616E10"/>
    <w:rsid w:val="00620799"/>
    <w:rsid w:val="006224AF"/>
    <w:rsid w:val="006258E7"/>
    <w:rsid w:val="00627352"/>
    <w:rsid w:val="00627F4C"/>
    <w:rsid w:val="00631507"/>
    <w:rsid w:val="006320A0"/>
    <w:rsid w:val="00634623"/>
    <w:rsid w:val="0064094B"/>
    <w:rsid w:val="00641FD2"/>
    <w:rsid w:val="00642481"/>
    <w:rsid w:val="00642FEB"/>
    <w:rsid w:val="00646F0B"/>
    <w:rsid w:val="006500C9"/>
    <w:rsid w:val="0065126C"/>
    <w:rsid w:val="00653219"/>
    <w:rsid w:val="0065393C"/>
    <w:rsid w:val="006577FC"/>
    <w:rsid w:val="00667794"/>
    <w:rsid w:val="00667F7D"/>
    <w:rsid w:val="006738A8"/>
    <w:rsid w:val="00676EBB"/>
    <w:rsid w:val="00677C2B"/>
    <w:rsid w:val="00680802"/>
    <w:rsid w:val="006815A8"/>
    <w:rsid w:val="00682BBB"/>
    <w:rsid w:val="00686A6D"/>
    <w:rsid w:val="00687BCC"/>
    <w:rsid w:val="00695FF5"/>
    <w:rsid w:val="00696B32"/>
    <w:rsid w:val="00696E61"/>
    <w:rsid w:val="00697F60"/>
    <w:rsid w:val="006A213C"/>
    <w:rsid w:val="006A478F"/>
    <w:rsid w:val="006A508E"/>
    <w:rsid w:val="006A5F2D"/>
    <w:rsid w:val="006B0B7F"/>
    <w:rsid w:val="006B12BA"/>
    <w:rsid w:val="006B1347"/>
    <w:rsid w:val="006B297A"/>
    <w:rsid w:val="006B445E"/>
    <w:rsid w:val="006B683B"/>
    <w:rsid w:val="006C11FE"/>
    <w:rsid w:val="006C1D37"/>
    <w:rsid w:val="006C212B"/>
    <w:rsid w:val="006C4917"/>
    <w:rsid w:val="006C57F7"/>
    <w:rsid w:val="006D0C5F"/>
    <w:rsid w:val="006D22D7"/>
    <w:rsid w:val="006D3D7E"/>
    <w:rsid w:val="006D4617"/>
    <w:rsid w:val="006E01B1"/>
    <w:rsid w:val="006E101C"/>
    <w:rsid w:val="006E64E5"/>
    <w:rsid w:val="006F0319"/>
    <w:rsid w:val="006F05D2"/>
    <w:rsid w:val="006F175A"/>
    <w:rsid w:val="006F4145"/>
    <w:rsid w:val="006F749F"/>
    <w:rsid w:val="00700A07"/>
    <w:rsid w:val="007032C8"/>
    <w:rsid w:val="00706EDC"/>
    <w:rsid w:val="0071057B"/>
    <w:rsid w:val="00710CE1"/>
    <w:rsid w:val="0071135E"/>
    <w:rsid w:val="00714540"/>
    <w:rsid w:val="00714622"/>
    <w:rsid w:val="00716F7B"/>
    <w:rsid w:val="007216EF"/>
    <w:rsid w:val="00723B5F"/>
    <w:rsid w:val="0072791B"/>
    <w:rsid w:val="0074163E"/>
    <w:rsid w:val="00742A5F"/>
    <w:rsid w:val="00743360"/>
    <w:rsid w:val="007449C6"/>
    <w:rsid w:val="00744C95"/>
    <w:rsid w:val="0074739E"/>
    <w:rsid w:val="00750F0C"/>
    <w:rsid w:val="00751B89"/>
    <w:rsid w:val="0075280A"/>
    <w:rsid w:val="00754AC8"/>
    <w:rsid w:val="00756169"/>
    <w:rsid w:val="00760991"/>
    <w:rsid w:val="00761323"/>
    <w:rsid w:val="007619C9"/>
    <w:rsid w:val="00762672"/>
    <w:rsid w:val="0076654C"/>
    <w:rsid w:val="00771F33"/>
    <w:rsid w:val="007732EC"/>
    <w:rsid w:val="0077395F"/>
    <w:rsid w:val="00773C42"/>
    <w:rsid w:val="0077757A"/>
    <w:rsid w:val="00780F5E"/>
    <w:rsid w:val="007857AA"/>
    <w:rsid w:val="00786CC4"/>
    <w:rsid w:val="00786EB1"/>
    <w:rsid w:val="0078724E"/>
    <w:rsid w:val="00787EA7"/>
    <w:rsid w:val="00790379"/>
    <w:rsid w:val="00794208"/>
    <w:rsid w:val="0079453F"/>
    <w:rsid w:val="007959B8"/>
    <w:rsid w:val="007A0D70"/>
    <w:rsid w:val="007A2353"/>
    <w:rsid w:val="007A4230"/>
    <w:rsid w:val="007A6FE1"/>
    <w:rsid w:val="007B52A8"/>
    <w:rsid w:val="007C1199"/>
    <w:rsid w:val="007C29B8"/>
    <w:rsid w:val="007C3437"/>
    <w:rsid w:val="007C39E2"/>
    <w:rsid w:val="007C49CF"/>
    <w:rsid w:val="007C53A4"/>
    <w:rsid w:val="007C610C"/>
    <w:rsid w:val="007C6731"/>
    <w:rsid w:val="007C6797"/>
    <w:rsid w:val="007C746E"/>
    <w:rsid w:val="007C7B3F"/>
    <w:rsid w:val="007D0490"/>
    <w:rsid w:val="007D2BED"/>
    <w:rsid w:val="007D2C7C"/>
    <w:rsid w:val="007D2DC6"/>
    <w:rsid w:val="007D327C"/>
    <w:rsid w:val="007D3376"/>
    <w:rsid w:val="007D486E"/>
    <w:rsid w:val="007D643A"/>
    <w:rsid w:val="007E4B7D"/>
    <w:rsid w:val="007E6921"/>
    <w:rsid w:val="007E6CDE"/>
    <w:rsid w:val="007E77FE"/>
    <w:rsid w:val="007E7DEC"/>
    <w:rsid w:val="007F0B16"/>
    <w:rsid w:val="007F554D"/>
    <w:rsid w:val="00801769"/>
    <w:rsid w:val="0080356C"/>
    <w:rsid w:val="00804E09"/>
    <w:rsid w:val="0080571A"/>
    <w:rsid w:val="00811060"/>
    <w:rsid w:val="0081307C"/>
    <w:rsid w:val="00814248"/>
    <w:rsid w:val="00814B38"/>
    <w:rsid w:val="00817BFB"/>
    <w:rsid w:val="00822FEC"/>
    <w:rsid w:val="00823D2B"/>
    <w:rsid w:val="0082566F"/>
    <w:rsid w:val="00825D2C"/>
    <w:rsid w:val="0082700C"/>
    <w:rsid w:val="00831EF4"/>
    <w:rsid w:val="00835BFC"/>
    <w:rsid w:val="0083618C"/>
    <w:rsid w:val="00840230"/>
    <w:rsid w:val="0084186E"/>
    <w:rsid w:val="00844B90"/>
    <w:rsid w:val="00846A87"/>
    <w:rsid w:val="00847D37"/>
    <w:rsid w:val="00854F6F"/>
    <w:rsid w:val="0085700B"/>
    <w:rsid w:val="00860A4E"/>
    <w:rsid w:val="008626F4"/>
    <w:rsid w:val="008639FF"/>
    <w:rsid w:val="00865AA0"/>
    <w:rsid w:val="00866044"/>
    <w:rsid w:val="008670D3"/>
    <w:rsid w:val="00870047"/>
    <w:rsid w:val="008708C4"/>
    <w:rsid w:val="008718C7"/>
    <w:rsid w:val="00873052"/>
    <w:rsid w:val="00874052"/>
    <w:rsid w:val="00875477"/>
    <w:rsid w:val="00875A6D"/>
    <w:rsid w:val="00875FA6"/>
    <w:rsid w:val="00877C66"/>
    <w:rsid w:val="00882A17"/>
    <w:rsid w:val="00882EFE"/>
    <w:rsid w:val="008831B6"/>
    <w:rsid w:val="008865FA"/>
    <w:rsid w:val="00886C17"/>
    <w:rsid w:val="008910A9"/>
    <w:rsid w:val="008940F2"/>
    <w:rsid w:val="00895E2A"/>
    <w:rsid w:val="008976D4"/>
    <w:rsid w:val="008A279F"/>
    <w:rsid w:val="008A405B"/>
    <w:rsid w:val="008A5319"/>
    <w:rsid w:val="008A5DA4"/>
    <w:rsid w:val="008A7D01"/>
    <w:rsid w:val="008B0B16"/>
    <w:rsid w:val="008B5D4E"/>
    <w:rsid w:val="008B7D93"/>
    <w:rsid w:val="008C4A4A"/>
    <w:rsid w:val="008C5D2E"/>
    <w:rsid w:val="008C6748"/>
    <w:rsid w:val="008C763D"/>
    <w:rsid w:val="008C7759"/>
    <w:rsid w:val="008D0668"/>
    <w:rsid w:val="008D0A43"/>
    <w:rsid w:val="008D0C19"/>
    <w:rsid w:val="008D1770"/>
    <w:rsid w:val="008D45FF"/>
    <w:rsid w:val="008D5ACD"/>
    <w:rsid w:val="008D606C"/>
    <w:rsid w:val="008E04D0"/>
    <w:rsid w:val="008F1D10"/>
    <w:rsid w:val="008F20C2"/>
    <w:rsid w:val="008F3510"/>
    <w:rsid w:val="008F4E3D"/>
    <w:rsid w:val="00903BFA"/>
    <w:rsid w:val="0090498E"/>
    <w:rsid w:val="009052AC"/>
    <w:rsid w:val="009052BD"/>
    <w:rsid w:val="00906CF1"/>
    <w:rsid w:val="00911440"/>
    <w:rsid w:val="00912BF4"/>
    <w:rsid w:val="009134C0"/>
    <w:rsid w:val="00913757"/>
    <w:rsid w:val="0092433E"/>
    <w:rsid w:val="00930491"/>
    <w:rsid w:val="00932E46"/>
    <w:rsid w:val="00933E40"/>
    <w:rsid w:val="00935D1B"/>
    <w:rsid w:val="00937B3E"/>
    <w:rsid w:val="00943C22"/>
    <w:rsid w:val="009441CE"/>
    <w:rsid w:val="0094682B"/>
    <w:rsid w:val="00946AC4"/>
    <w:rsid w:val="00950426"/>
    <w:rsid w:val="009506CE"/>
    <w:rsid w:val="00957B93"/>
    <w:rsid w:val="009602DB"/>
    <w:rsid w:val="0096517A"/>
    <w:rsid w:val="00965290"/>
    <w:rsid w:val="00976B65"/>
    <w:rsid w:val="00984CAE"/>
    <w:rsid w:val="00985373"/>
    <w:rsid w:val="00985B32"/>
    <w:rsid w:val="00986A03"/>
    <w:rsid w:val="00987E3C"/>
    <w:rsid w:val="00991842"/>
    <w:rsid w:val="00993343"/>
    <w:rsid w:val="00993CE1"/>
    <w:rsid w:val="00994E9B"/>
    <w:rsid w:val="009950BA"/>
    <w:rsid w:val="009955BF"/>
    <w:rsid w:val="00995877"/>
    <w:rsid w:val="009970D4"/>
    <w:rsid w:val="009A05EB"/>
    <w:rsid w:val="009A090B"/>
    <w:rsid w:val="009A24A2"/>
    <w:rsid w:val="009A27D5"/>
    <w:rsid w:val="009A363D"/>
    <w:rsid w:val="009A3EB7"/>
    <w:rsid w:val="009A402D"/>
    <w:rsid w:val="009B00E2"/>
    <w:rsid w:val="009B228C"/>
    <w:rsid w:val="009B471A"/>
    <w:rsid w:val="009B55C2"/>
    <w:rsid w:val="009C3689"/>
    <w:rsid w:val="009C5CB7"/>
    <w:rsid w:val="009C679B"/>
    <w:rsid w:val="009D0695"/>
    <w:rsid w:val="009D21A6"/>
    <w:rsid w:val="009D4752"/>
    <w:rsid w:val="009D669C"/>
    <w:rsid w:val="009E0E1B"/>
    <w:rsid w:val="009E1898"/>
    <w:rsid w:val="009E4A0D"/>
    <w:rsid w:val="009E550B"/>
    <w:rsid w:val="009E6169"/>
    <w:rsid w:val="009E7846"/>
    <w:rsid w:val="009E7D4D"/>
    <w:rsid w:val="009F05D8"/>
    <w:rsid w:val="009F355A"/>
    <w:rsid w:val="00A01728"/>
    <w:rsid w:val="00A031CD"/>
    <w:rsid w:val="00A038EB"/>
    <w:rsid w:val="00A04A14"/>
    <w:rsid w:val="00A04C71"/>
    <w:rsid w:val="00A06FF1"/>
    <w:rsid w:val="00A1191B"/>
    <w:rsid w:val="00A14FBA"/>
    <w:rsid w:val="00A2060D"/>
    <w:rsid w:val="00A20BCA"/>
    <w:rsid w:val="00A20C52"/>
    <w:rsid w:val="00A239D6"/>
    <w:rsid w:val="00A25402"/>
    <w:rsid w:val="00A26AEA"/>
    <w:rsid w:val="00A27976"/>
    <w:rsid w:val="00A317EE"/>
    <w:rsid w:val="00A35782"/>
    <w:rsid w:val="00A368B3"/>
    <w:rsid w:val="00A3696D"/>
    <w:rsid w:val="00A371F3"/>
    <w:rsid w:val="00A3792D"/>
    <w:rsid w:val="00A40F61"/>
    <w:rsid w:val="00A4177F"/>
    <w:rsid w:val="00A43B52"/>
    <w:rsid w:val="00A46D19"/>
    <w:rsid w:val="00A479F5"/>
    <w:rsid w:val="00A52ADD"/>
    <w:rsid w:val="00A5547F"/>
    <w:rsid w:val="00A6294C"/>
    <w:rsid w:val="00A66E9A"/>
    <w:rsid w:val="00A72175"/>
    <w:rsid w:val="00A72AA6"/>
    <w:rsid w:val="00A72E2A"/>
    <w:rsid w:val="00A737D2"/>
    <w:rsid w:val="00A73850"/>
    <w:rsid w:val="00A74B15"/>
    <w:rsid w:val="00A801BD"/>
    <w:rsid w:val="00A80D70"/>
    <w:rsid w:val="00A819D1"/>
    <w:rsid w:val="00A822E4"/>
    <w:rsid w:val="00A83A30"/>
    <w:rsid w:val="00A83D34"/>
    <w:rsid w:val="00A90627"/>
    <w:rsid w:val="00A909B0"/>
    <w:rsid w:val="00A97A3C"/>
    <w:rsid w:val="00AA133A"/>
    <w:rsid w:val="00AA3C6F"/>
    <w:rsid w:val="00AA554A"/>
    <w:rsid w:val="00AA5B62"/>
    <w:rsid w:val="00AA6855"/>
    <w:rsid w:val="00AA7D8F"/>
    <w:rsid w:val="00AB3A7C"/>
    <w:rsid w:val="00AB7C7A"/>
    <w:rsid w:val="00AC0678"/>
    <w:rsid w:val="00AC3621"/>
    <w:rsid w:val="00AC3C81"/>
    <w:rsid w:val="00AC4B62"/>
    <w:rsid w:val="00AC4CBB"/>
    <w:rsid w:val="00AC5470"/>
    <w:rsid w:val="00AC7FB6"/>
    <w:rsid w:val="00AD399B"/>
    <w:rsid w:val="00AD3E3D"/>
    <w:rsid w:val="00AD618C"/>
    <w:rsid w:val="00AD7D8F"/>
    <w:rsid w:val="00AE097A"/>
    <w:rsid w:val="00AE16C7"/>
    <w:rsid w:val="00AE17A7"/>
    <w:rsid w:val="00AE2C6B"/>
    <w:rsid w:val="00AE3EE0"/>
    <w:rsid w:val="00AE53ED"/>
    <w:rsid w:val="00AE5CFE"/>
    <w:rsid w:val="00AF2161"/>
    <w:rsid w:val="00AF31D4"/>
    <w:rsid w:val="00B007C5"/>
    <w:rsid w:val="00B01245"/>
    <w:rsid w:val="00B02352"/>
    <w:rsid w:val="00B02A29"/>
    <w:rsid w:val="00B02CF9"/>
    <w:rsid w:val="00B0344B"/>
    <w:rsid w:val="00B03C11"/>
    <w:rsid w:val="00B10880"/>
    <w:rsid w:val="00B12F17"/>
    <w:rsid w:val="00B15C93"/>
    <w:rsid w:val="00B20B89"/>
    <w:rsid w:val="00B21B68"/>
    <w:rsid w:val="00B25446"/>
    <w:rsid w:val="00B2651B"/>
    <w:rsid w:val="00B30FE0"/>
    <w:rsid w:val="00B31C21"/>
    <w:rsid w:val="00B32274"/>
    <w:rsid w:val="00B32875"/>
    <w:rsid w:val="00B36049"/>
    <w:rsid w:val="00B36136"/>
    <w:rsid w:val="00B40C25"/>
    <w:rsid w:val="00B45C36"/>
    <w:rsid w:val="00B45E43"/>
    <w:rsid w:val="00B463D0"/>
    <w:rsid w:val="00B529EB"/>
    <w:rsid w:val="00B533A6"/>
    <w:rsid w:val="00B5344F"/>
    <w:rsid w:val="00B54BCF"/>
    <w:rsid w:val="00B56785"/>
    <w:rsid w:val="00B57DC2"/>
    <w:rsid w:val="00B60A1E"/>
    <w:rsid w:val="00B6320A"/>
    <w:rsid w:val="00B6605B"/>
    <w:rsid w:val="00B67EA5"/>
    <w:rsid w:val="00B70249"/>
    <w:rsid w:val="00B731A4"/>
    <w:rsid w:val="00B80765"/>
    <w:rsid w:val="00B80B9C"/>
    <w:rsid w:val="00B8359B"/>
    <w:rsid w:val="00B844D9"/>
    <w:rsid w:val="00B85F8C"/>
    <w:rsid w:val="00B90AC5"/>
    <w:rsid w:val="00B9107F"/>
    <w:rsid w:val="00B92E93"/>
    <w:rsid w:val="00B92FBB"/>
    <w:rsid w:val="00B936DF"/>
    <w:rsid w:val="00B93927"/>
    <w:rsid w:val="00B95838"/>
    <w:rsid w:val="00BA1DCB"/>
    <w:rsid w:val="00BA2CF7"/>
    <w:rsid w:val="00BA2DDA"/>
    <w:rsid w:val="00BA42CD"/>
    <w:rsid w:val="00BA555C"/>
    <w:rsid w:val="00BA7DC3"/>
    <w:rsid w:val="00BB2082"/>
    <w:rsid w:val="00BB4B04"/>
    <w:rsid w:val="00BB7E4B"/>
    <w:rsid w:val="00BD125A"/>
    <w:rsid w:val="00BD5462"/>
    <w:rsid w:val="00BD5C73"/>
    <w:rsid w:val="00BD6358"/>
    <w:rsid w:val="00BE02EE"/>
    <w:rsid w:val="00BE1CD9"/>
    <w:rsid w:val="00BE1E27"/>
    <w:rsid w:val="00BE211D"/>
    <w:rsid w:val="00BE2880"/>
    <w:rsid w:val="00BE48F8"/>
    <w:rsid w:val="00BE5964"/>
    <w:rsid w:val="00BE7CF7"/>
    <w:rsid w:val="00BF67D1"/>
    <w:rsid w:val="00C01E16"/>
    <w:rsid w:val="00C01F5B"/>
    <w:rsid w:val="00C027A1"/>
    <w:rsid w:val="00C045AE"/>
    <w:rsid w:val="00C2013E"/>
    <w:rsid w:val="00C20770"/>
    <w:rsid w:val="00C2160F"/>
    <w:rsid w:val="00C2328C"/>
    <w:rsid w:val="00C23512"/>
    <w:rsid w:val="00C249F5"/>
    <w:rsid w:val="00C25297"/>
    <w:rsid w:val="00C25CBF"/>
    <w:rsid w:val="00C3329A"/>
    <w:rsid w:val="00C37F09"/>
    <w:rsid w:val="00C431B9"/>
    <w:rsid w:val="00C45343"/>
    <w:rsid w:val="00C542B7"/>
    <w:rsid w:val="00C6109C"/>
    <w:rsid w:val="00C64448"/>
    <w:rsid w:val="00C6544C"/>
    <w:rsid w:val="00C658E6"/>
    <w:rsid w:val="00C65C5F"/>
    <w:rsid w:val="00C65E0A"/>
    <w:rsid w:val="00C66FBF"/>
    <w:rsid w:val="00C70860"/>
    <w:rsid w:val="00C7108C"/>
    <w:rsid w:val="00C7249A"/>
    <w:rsid w:val="00C75C5C"/>
    <w:rsid w:val="00C762A0"/>
    <w:rsid w:val="00C826A8"/>
    <w:rsid w:val="00C83E27"/>
    <w:rsid w:val="00C86733"/>
    <w:rsid w:val="00C96D69"/>
    <w:rsid w:val="00C97472"/>
    <w:rsid w:val="00C976E5"/>
    <w:rsid w:val="00C97756"/>
    <w:rsid w:val="00C97BB8"/>
    <w:rsid w:val="00C97CB5"/>
    <w:rsid w:val="00CA0727"/>
    <w:rsid w:val="00CA087C"/>
    <w:rsid w:val="00CA32C8"/>
    <w:rsid w:val="00CA38D0"/>
    <w:rsid w:val="00CA44D1"/>
    <w:rsid w:val="00CA745F"/>
    <w:rsid w:val="00CB1639"/>
    <w:rsid w:val="00CB1758"/>
    <w:rsid w:val="00CB3660"/>
    <w:rsid w:val="00CB792C"/>
    <w:rsid w:val="00CC3096"/>
    <w:rsid w:val="00CC4E29"/>
    <w:rsid w:val="00CD31CE"/>
    <w:rsid w:val="00CD5993"/>
    <w:rsid w:val="00CF3429"/>
    <w:rsid w:val="00CF605B"/>
    <w:rsid w:val="00CF6763"/>
    <w:rsid w:val="00D021BB"/>
    <w:rsid w:val="00D03FED"/>
    <w:rsid w:val="00D05E6F"/>
    <w:rsid w:val="00D065D7"/>
    <w:rsid w:val="00D10A28"/>
    <w:rsid w:val="00D13E17"/>
    <w:rsid w:val="00D15901"/>
    <w:rsid w:val="00D207EC"/>
    <w:rsid w:val="00D20EF0"/>
    <w:rsid w:val="00D2113D"/>
    <w:rsid w:val="00D2165B"/>
    <w:rsid w:val="00D2225F"/>
    <w:rsid w:val="00D233F0"/>
    <w:rsid w:val="00D25231"/>
    <w:rsid w:val="00D26826"/>
    <w:rsid w:val="00D34F7F"/>
    <w:rsid w:val="00D37A44"/>
    <w:rsid w:val="00D43DB0"/>
    <w:rsid w:val="00D46433"/>
    <w:rsid w:val="00D46DB4"/>
    <w:rsid w:val="00D51FF3"/>
    <w:rsid w:val="00D52631"/>
    <w:rsid w:val="00D549B0"/>
    <w:rsid w:val="00D560AC"/>
    <w:rsid w:val="00D56A46"/>
    <w:rsid w:val="00D57513"/>
    <w:rsid w:val="00D60E87"/>
    <w:rsid w:val="00D65F0F"/>
    <w:rsid w:val="00D661A3"/>
    <w:rsid w:val="00D71901"/>
    <w:rsid w:val="00D72B49"/>
    <w:rsid w:val="00D75F6F"/>
    <w:rsid w:val="00D76CA1"/>
    <w:rsid w:val="00D8042A"/>
    <w:rsid w:val="00D810DE"/>
    <w:rsid w:val="00D842D0"/>
    <w:rsid w:val="00D8630A"/>
    <w:rsid w:val="00D87ABE"/>
    <w:rsid w:val="00D90475"/>
    <w:rsid w:val="00D90C21"/>
    <w:rsid w:val="00D924D6"/>
    <w:rsid w:val="00D93C42"/>
    <w:rsid w:val="00D93DF1"/>
    <w:rsid w:val="00D959AA"/>
    <w:rsid w:val="00D95DB3"/>
    <w:rsid w:val="00D97B10"/>
    <w:rsid w:val="00DA0C71"/>
    <w:rsid w:val="00DA553B"/>
    <w:rsid w:val="00DA75F2"/>
    <w:rsid w:val="00DB3FF7"/>
    <w:rsid w:val="00DB45BC"/>
    <w:rsid w:val="00DB6B04"/>
    <w:rsid w:val="00DB7167"/>
    <w:rsid w:val="00DB7DA2"/>
    <w:rsid w:val="00DC1251"/>
    <w:rsid w:val="00DC4D87"/>
    <w:rsid w:val="00DC5570"/>
    <w:rsid w:val="00DC55F9"/>
    <w:rsid w:val="00DC575F"/>
    <w:rsid w:val="00DC59F9"/>
    <w:rsid w:val="00DD0542"/>
    <w:rsid w:val="00DD566F"/>
    <w:rsid w:val="00DD617D"/>
    <w:rsid w:val="00DD7D23"/>
    <w:rsid w:val="00DE11DA"/>
    <w:rsid w:val="00DE2498"/>
    <w:rsid w:val="00DE26A5"/>
    <w:rsid w:val="00DE2EE6"/>
    <w:rsid w:val="00DF06C4"/>
    <w:rsid w:val="00DF0D56"/>
    <w:rsid w:val="00DF1A07"/>
    <w:rsid w:val="00DF5D3E"/>
    <w:rsid w:val="00DF6026"/>
    <w:rsid w:val="00E0071C"/>
    <w:rsid w:val="00E0135B"/>
    <w:rsid w:val="00E01CF1"/>
    <w:rsid w:val="00E028F7"/>
    <w:rsid w:val="00E05CDD"/>
    <w:rsid w:val="00E06E33"/>
    <w:rsid w:val="00E11652"/>
    <w:rsid w:val="00E12347"/>
    <w:rsid w:val="00E12E75"/>
    <w:rsid w:val="00E13DC9"/>
    <w:rsid w:val="00E16623"/>
    <w:rsid w:val="00E16F9F"/>
    <w:rsid w:val="00E20572"/>
    <w:rsid w:val="00E20A4C"/>
    <w:rsid w:val="00E265E2"/>
    <w:rsid w:val="00E27CFB"/>
    <w:rsid w:val="00E30E70"/>
    <w:rsid w:val="00E31ADE"/>
    <w:rsid w:val="00E34695"/>
    <w:rsid w:val="00E36AAA"/>
    <w:rsid w:val="00E378F9"/>
    <w:rsid w:val="00E40A3E"/>
    <w:rsid w:val="00E472CF"/>
    <w:rsid w:val="00E47C82"/>
    <w:rsid w:val="00E501E8"/>
    <w:rsid w:val="00E536EE"/>
    <w:rsid w:val="00E53886"/>
    <w:rsid w:val="00E548BA"/>
    <w:rsid w:val="00E61DD3"/>
    <w:rsid w:val="00E67F4C"/>
    <w:rsid w:val="00E71BCB"/>
    <w:rsid w:val="00E72E79"/>
    <w:rsid w:val="00E74EDC"/>
    <w:rsid w:val="00E765A3"/>
    <w:rsid w:val="00E8007F"/>
    <w:rsid w:val="00E823E2"/>
    <w:rsid w:val="00E84022"/>
    <w:rsid w:val="00E857BA"/>
    <w:rsid w:val="00E92964"/>
    <w:rsid w:val="00E92D78"/>
    <w:rsid w:val="00E92FE6"/>
    <w:rsid w:val="00E93525"/>
    <w:rsid w:val="00E9528B"/>
    <w:rsid w:val="00E96B67"/>
    <w:rsid w:val="00E96F01"/>
    <w:rsid w:val="00EA1E81"/>
    <w:rsid w:val="00EA49E2"/>
    <w:rsid w:val="00EA4AF8"/>
    <w:rsid w:val="00EA644E"/>
    <w:rsid w:val="00EB30E6"/>
    <w:rsid w:val="00EB49C7"/>
    <w:rsid w:val="00EB4B46"/>
    <w:rsid w:val="00EB78C6"/>
    <w:rsid w:val="00EC0368"/>
    <w:rsid w:val="00EC4EB9"/>
    <w:rsid w:val="00EC5873"/>
    <w:rsid w:val="00ED0180"/>
    <w:rsid w:val="00ED7D83"/>
    <w:rsid w:val="00EF1CEA"/>
    <w:rsid w:val="00EF29E7"/>
    <w:rsid w:val="00EF6544"/>
    <w:rsid w:val="00EF6B9E"/>
    <w:rsid w:val="00EF7217"/>
    <w:rsid w:val="00EF7ABD"/>
    <w:rsid w:val="00F01750"/>
    <w:rsid w:val="00F02CF6"/>
    <w:rsid w:val="00F03C83"/>
    <w:rsid w:val="00F061F8"/>
    <w:rsid w:val="00F074ED"/>
    <w:rsid w:val="00F25BDF"/>
    <w:rsid w:val="00F43E02"/>
    <w:rsid w:val="00F46AE1"/>
    <w:rsid w:val="00F55A46"/>
    <w:rsid w:val="00F608CC"/>
    <w:rsid w:val="00F60981"/>
    <w:rsid w:val="00F60F09"/>
    <w:rsid w:val="00F61BE2"/>
    <w:rsid w:val="00F64A6C"/>
    <w:rsid w:val="00F64C28"/>
    <w:rsid w:val="00F6736C"/>
    <w:rsid w:val="00F67BBE"/>
    <w:rsid w:val="00F708F9"/>
    <w:rsid w:val="00F73C56"/>
    <w:rsid w:val="00F7515C"/>
    <w:rsid w:val="00F75247"/>
    <w:rsid w:val="00F7591A"/>
    <w:rsid w:val="00F75B74"/>
    <w:rsid w:val="00F8753E"/>
    <w:rsid w:val="00F9038D"/>
    <w:rsid w:val="00FA4FD3"/>
    <w:rsid w:val="00FA7827"/>
    <w:rsid w:val="00FB0003"/>
    <w:rsid w:val="00FB22AA"/>
    <w:rsid w:val="00FB2D3D"/>
    <w:rsid w:val="00FB45C0"/>
    <w:rsid w:val="00FB59CA"/>
    <w:rsid w:val="00FB7401"/>
    <w:rsid w:val="00FC09D5"/>
    <w:rsid w:val="00FC13D2"/>
    <w:rsid w:val="00FC2190"/>
    <w:rsid w:val="00FC2263"/>
    <w:rsid w:val="00FC23F1"/>
    <w:rsid w:val="00FC5622"/>
    <w:rsid w:val="00FC7851"/>
    <w:rsid w:val="00FD1D13"/>
    <w:rsid w:val="00FD4DE0"/>
    <w:rsid w:val="00FD5D12"/>
    <w:rsid w:val="00FD6760"/>
    <w:rsid w:val="00FD6D90"/>
    <w:rsid w:val="00FE0695"/>
    <w:rsid w:val="00FE0EBD"/>
    <w:rsid w:val="00FE277C"/>
    <w:rsid w:val="00FE2CE9"/>
    <w:rsid w:val="00FE4A9A"/>
    <w:rsid w:val="00FE7A02"/>
    <w:rsid w:val="00FE7E85"/>
    <w:rsid w:val="00FF0180"/>
    <w:rsid w:val="00FF01D4"/>
    <w:rsid w:val="00FF0F9F"/>
    <w:rsid w:val="00FF14A7"/>
    <w:rsid w:val="00FF194C"/>
    <w:rsid w:val="00FF1F8E"/>
    <w:rsid w:val="00FF57CF"/>
    <w:rsid w:val="00FF5E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3E02"/>
  </w:style>
  <w:style w:type="paragraph" w:styleId="Ttulo1">
    <w:name w:val="heading 1"/>
    <w:basedOn w:val="Normal"/>
    <w:next w:val="Normal"/>
    <w:rsid w:val="00F43E02"/>
    <w:pPr>
      <w:keepNext/>
      <w:keepLines/>
      <w:spacing w:before="400" w:after="120"/>
      <w:outlineLvl w:val="0"/>
    </w:pPr>
    <w:rPr>
      <w:sz w:val="40"/>
      <w:szCs w:val="40"/>
    </w:rPr>
  </w:style>
  <w:style w:type="paragraph" w:styleId="Ttulo2">
    <w:name w:val="heading 2"/>
    <w:basedOn w:val="Normal"/>
    <w:next w:val="Normal"/>
    <w:rsid w:val="00F43E02"/>
    <w:pPr>
      <w:keepNext/>
      <w:keepLines/>
      <w:spacing w:before="360" w:after="120"/>
      <w:outlineLvl w:val="1"/>
    </w:pPr>
    <w:rPr>
      <w:sz w:val="32"/>
      <w:szCs w:val="32"/>
    </w:rPr>
  </w:style>
  <w:style w:type="paragraph" w:styleId="Ttulo3">
    <w:name w:val="heading 3"/>
    <w:basedOn w:val="Normal"/>
    <w:next w:val="Normal"/>
    <w:rsid w:val="00F43E02"/>
    <w:pPr>
      <w:keepNext/>
      <w:keepLines/>
      <w:spacing w:before="320" w:after="80"/>
      <w:outlineLvl w:val="2"/>
    </w:pPr>
    <w:rPr>
      <w:color w:val="434343"/>
      <w:sz w:val="28"/>
      <w:szCs w:val="28"/>
    </w:rPr>
  </w:style>
  <w:style w:type="paragraph" w:styleId="Ttulo4">
    <w:name w:val="heading 4"/>
    <w:basedOn w:val="Normal"/>
    <w:next w:val="Normal"/>
    <w:rsid w:val="00F43E02"/>
    <w:pPr>
      <w:keepNext/>
      <w:keepLines/>
      <w:spacing w:before="280" w:after="80"/>
      <w:outlineLvl w:val="3"/>
    </w:pPr>
    <w:rPr>
      <w:color w:val="666666"/>
      <w:sz w:val="24"/>
      <w:szCs w:val="24"/>
    </w:rPr>
  </w:style>
  <w:style w:type="paragraph" w:styleId="Ttulo5">
    <w:name w:val="heading 5"/>
    <w:basedOn w:val="Normal"/>
    <w:next w:val="Normal"/>
    <w:rsid w:val="00F43E02"/>
    <w:pPr>
      <w:keepNext/>
      <w:keepLines/>
      <w:spacing w:before="240" w:after="80"/>
      <w:outlineLvl w:val="4"/>
    </w:pPr>
    <w:rPr>
      <w:color w:val="666666"/>
    </w:rPr>
  </w:style>
  <w:style w:type="paragraph" w:styleId="Ttulo6">
    <w:name w:val="heading 6"/>
    <w:basedOn w:val="Normal"/>
    <w:next w:val="Normal"/>
    <w:rsid w:val="00F43E0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F43E02"/>
    <w:pPr>
      <w:keepNext/>
      <w:keepLines/>
      <w:spacing w:after="60"/>
    </w:pPr>
    <w:rPr>
      <w:sz w:val="52"/>
      <w:szCs w:val="52"/>
    </w:rPr>
  </w:style>
  <w:style w:type="paragraph" w:styleId="Subttulo">
    <w:name w:val="Subtitle"/>
    <w:basedOn w:val="Normal"/>
    <w:next w:val="Normal"/>
    <w:rsid w:val="00F43E02"/>
    <w:pPr>
      <w:keepNext/>
      <w:keepLines/>
      <w:spacing w:after="320"/>
    </w:pPr>
    <w:rPr>
      <w:color w:val="666666"/>
      <w:sz w:val="30"/>
      <w:szCs w:val="30"/>
    </w:rPr>
  </w:style>
  <w:style w:type="table" w:styleId="Tablaconcuadrcula">
    <w:name w:val="Table Grid"/>
    <w:basedOn w:val="Tablanormal"/>
    <w:uiPriority w:val="59"/>
    <w:rsid w:val="002625B5"/>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D0A4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D0A43"/>
  </w:style>
  <w:style w:type="paragraph" w:styleId="Piedepgina">
    <w:name w:val="footer"/>
    <w:basedOn w:val="Normal"/>
    <w:link w:val="PiedepginaCar"/>
    <w:uiPriority w:val="99"/>
    <w:unhideWhenUsed/>
    <w:rsid w:val="008D0A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D0A43"/>
  </w:style>
  <w:style w:type="character" w:styleId="Hipervnculo">
    <w:name w:val="Hyperlink"/>
    <w:basedOn w:val="Fuentedeprrafopredeter"/>
    <w:uiPriority w:val="99"/>
    <w:unhideWhenUsed/>
    <w:rsid w:val="00EB4B46"/>
    <w:rPr>
      <w:color w:val="0000FF" w:themeColor="hyperlink"/>
      <w:u w:val="single"/>
    </w:rPr>
  </w:style>
  <w:style w:type="table" w:customStyle="1" w:styleId="TableNormal1">
    <w:name w:val="Table Normal1"/>
    <w:rsid w:val="00882A17"/>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E857BA"/>
    <w:rPr>
      <w:sz w:val="16"/>
      <w:szCs w:val="16"/>
    </w:rPr>
  </w:style>
  <w:style w:type="paragraph" w:styleId="Textocomentario">
    <w:name w:val="annotation text"/>
    <w:basedOn w:val="Normal"/>
    <w:link w:val="TextocomentarioCar"/>
    <w:uiPriority w:val="99"/>
    <w:unhideWhenUsed/>
    <w:rsid w:val="00E857BA"/>
    <w:pPr>
      <w:spacing w:line="240" w:lineRule="auto"/>
    </w:pPr>
    <w:rPr>
      <w:sz w:val="20"/>
      <w:szCs w:val="20"/>
    </w:rPr>
  </w:style>
  <w:style w:type="character" w:customStyle="1" w:styleId="TextocomentarioCar">
    <w:name w:val="Texto comentario Car"/>
    <w:basedOn w:val="Fuentedeprrafopredeter"/>
    <w:link w:val="Textocomentario"/>
    <w:uiPriority w:val="99"/>
    <w:rsid w:val="00E857BA"/>
    <w:rPr>
      <w:sz w:val="20"/>
      <w:szCs w:val="20"/>
    </w:rPr>
  </w:style>
  <w:style w:type="paragraph" w:styleId="Asuntodelcomentario">
    <w:name w:val="annotation subject"/>
    <w:basedOn w:val="Textocomentario"/>
    <w:next w:val="Textocomentario"/>
    <w:link w:val="AsuntodelcomentarioCar"/>
    <w:uiPriority w:val="99"/>
    <w:semiHidden/>
    <w:unhideWhenUsed/>
    <w:rsid w:val="00E857BA"/>
    <w:rPr>
      <w:b/>
      <w:bCs/>
    </w:rPr>
  </w:style>
  <w:style w:type="character" w:customStyle="1" w:styleId="AsuntodelcomentarioCar">
    <w:name w:val="Asunto del comentario Car"/>
    <w:basedOn w:val="TextocomentarioCar"/>
    <w:link w:val="Asuntodelcomentario"/>
    <w:uiPriority w:val="99"/>
    <w:semiHidden/>
    <w:rsid w:val="00E857BA"/>
    <w:rPr>
      <w:b/>
      <w:bCs/>
      <w:sz w:val="20"/>
      <w:szCs w:val="20"/>
    </w:rPr>
  </w:style>
  <w:style w:type="paragraph" w:styleId="Prrafodelista">
    <w:name w:val="List Paragraph"/>
    <w:basedOn w:val="Normal"/>
    <w:uiPriority w:val="34"/>
    <w:qFormat/>
    <w:rsid w:val="007959B8"/>
    <w:pPr>
      <w:ind w:left="720"/>
      <w:contextualSpacing/>
    </w:pPr>
  </w:style>
  <w:style w:type="character" w:customStyle="1" w:styleId="Mencinsinresolver1">
    <w:name w:val="Mención sin resolver1"/>
    <w:basedOn w:val="Fuentedeprrafopredeter"/>
    <w:uiPriority w:val="99"/>
    <w:semiHidden/>
    <w:unhideWhenUsed/>
    <w:rsid w:val="00CF3429"/>
    <w:rPr>
      <w:color w:val="605E5C"/>
      <w:shd w:val="clear" w:color="auto" w:fill="E1DFDD"/>
    </w:rPr>
  </w:style>
  <w:style w:type="paragraph" w:styleId="Revisin">
    <w:name w:val="Revision"/>
    <w:hidden/>
    <w:uiPriority w:val="99"/>
    <w:semiHidden/>
    <w:rsid w:val="00FC23F1"/>
    <w:pPr>
      <w:spacing w:line="240" w:lineRule="auto"/>
    </w:pPr>
  </w:style>
  <w:style w:type="paragraph" w:styleId="NormalWeb">
    <w:name w:val="Normal (Web)"/>
    <w:basedOn w:val="Normal"/>
    <w:uiPriority w:val="99"/>
    <w:semiHidden/>
    <w:unhideWhenUsed/>
    <w:rsid w:val="00D924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vnculovisitado">
    <w:name w:val="FollowedHyperlink"/>
    <w:basedOn w:val="Fuentedeprrafopredeter"/>
    <w:uiPriority w:val="99"/>
    <w:semiHidden/>
    <w:unhideWhenUsed/>
    <w:rsid w:val="004E3390"/>
    <w:rPr>
      <w:color w:val="800080"/>
      <w:u w:val="single"/>
    </w:rPr>
  </w:style>
  <w:style w:type="paragraph" w:customStyle="1" w:styleId="msonormal0">
    <w:name w:val="msonormal"/>
    <w:basedOn w:val="Normal"/>
    <w:rsid w:val="004E33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Normal"/>
    <w:rsid w:val="004E3390"/>
    <w:pPr>
      <w:spacing w:before="100" w:beforeAutospacing="1" w:after="100" w:afterAutospacing="1" w:line="240" w:lineRule="auto"/>
    </w:pPr>
    <w:rPr>
      <w:rFonts w:ascii="Calibri" w:eastAsia="Times New Roman" w:hAnsi="Calibri" w:cs="Calibri"/>
      <w:i/>
      <w:iCs/>
      <w:color w:val="000000"/>
      <w:lang w:val="en-US" w:eastAsia="en-US"/>
    </w:rPr>
  </w:style>
  <w:style w:type="paragraph" w:customStyle="1" w:styleId="font6">
    <w:name w:val="font6"/>
    <w:basedOn w:val="Normal"/>
    <w:rsid w:val="004E3390"/>
    <w:pPr>
      <w:spacing w:before="100" w:beforeAutospacing="1" w:after="100" w:afterAutospacing="1" w:line="240" w:lineRule="auto"/>
    </w:pPr>
    <w:rPr>
      <w:rFonts w:ascii="Calibri" w:eastAsia="Times New Roman" w:hAnsi="Calibri" w:cs="Calibri"/>
      <w:i/>
      <w:iCs/>
      <w:color w:val="000000"/>
      <w:lang w:val="en-US" w:eastAsia="en-US"/>
    </w:rPr>
  </w:style>
  <w:style w:type="paragraph" w:customStyle="1" w:styleId="xl66">
    <w:name w:val="xl66"/>
    <w:basedOn w:val="Normal"/>
    <w:rsid w:val="004E339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7">
    <w:name w:val="xl67"/>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366092"/>
      <w:sz w:val="24"/>
      <w:szCs w:val="24"/>
      <w:lang w:val="en-US" w:eastAsia="en-US"/>
    </w:rPr>
  </w:style>
  <w:style w:type="paragraph" w:customStyle="1" w:styleId="xl68">
    <w:name w:val="xl68"/>
    <w:basedOn w:val="Normal"/>
    <w:rsid w:val="004E3390"/>
    <w:pPr>
      <w:pBdr>
        <w:top w:val="single" w:sz="8" w:space="0" w:color="4F81BD"/>
        <w:bottom w:val="single" w:sz="8" w:space="0" w:color="4F81BD"/>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9">
    <w:name w:val="xl69"/>
    <w:basedOn w:val="Normal"/>
    <w:rsid w:val="004E3390"/>
    <w:pPr>
      <w:pBdr>
        <w:top w:val="single" w:sz="8" w:space="0" w:color="4F81BD"/>
        <w:bottom w:val="single" w:sz="8" w:space="0" w:color="4F81BD"/>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en-US" w:eastAsia="en-US"/>
    </w:rPr>
  </w:style>
  <w:style w:type="paragraph" w:customStyle="1" w:styleId="xl70">
    <w:name w:val="xl70"/>
    <w:basedOn w:val="Normal"/>
    <w:rsid w:val="004E3390"/>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eastAsia="en-US"/>
    </w:rPr>
  </w:style>
  <w:style w:type="paragraph" w:customStyle="1" w:styleId="xl71">
    <w:name w:val="xl71"/>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2">
    <w:name w:val="xl72"/>
    <w:basedOn w:val="Normal"/>
    <w:rsid w:val="004E3390"/>
    <w:pPr>
      <w:shd w:val="clear" w:color="000000" w:fill="DCE6F1"/>
      <w:spacing w:before="100" w:beforeAutospacing="1" w:after="100" w:afterAutospacing="1" w:line="240" w:lineRule="auto"/>
      <w:textAlignment w:val="center"/>
    </w:pPr>
    <w:rPr>
      <w:rFonts w:ascii="Times New Roman" w:eastAsia="Times New Roman" w:hAnsi="Times New Roman" w:cs="Times New Roman"/>
      <w:i/>
      <w:iCs/>
      <w:sz w:val="24"/>
      <w:szCs w:val="24"/>
      <w:lang w:val="en-US" w:eastAsia="en-US"/>
    </w:rPr>
  </w:style>
  <w:style w:type="paragraph" w:customStyle="1" w:styleId="xl73">
    <w:name w:val="xl73"/>
    <w:basedOn w:val="Normal"/>
    <w:rsid w:val="004E3390"/>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4E3390"/>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Normal"/>
    <w:rsid w:val="004E3390"/>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val="en-US" w:eastAsia="en-US"/>
    </w:rPr>
  </w:style>
  <w:style w:type="paragraph" w:customStyle="1" w:styleId="xl76">
    <w:name w:val="xl76"/>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8">
    <w:name w:val="xl78"/>
    <w:basedOn w:val="Normal"/>
    <w:rsid w:val="004E3390"/>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9">
    <w:name w:val="xl79"/>
    <w:basedOn w:val="Normal"/>
    <w:rsid w:val="004E3390"/>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0">
    <w:name w:val="xl80"/>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82">
    <w:name w:val="xl82"/>
    <w:basedOn w:val="Normal"/>
    <w:rsid w:val="004E339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Normal"/>
    <w:rsid w:val="004E3390"/>
    <w:pP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eastAsia="en-US"/>
    </w:rPr>
  </w:style>
  <w:style w:type="paragraph" w:customStyle="1" w:styleId="xl84">
    <w:name w:val="xl84"/>
    <w:basedOn w:val="Normal"/>
    <w:rsid w:val="004E3390"/>
    <w:pP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5">
    <w:name w:val="xl85"/>
    <w:basedOn w:val="Normal"/>
    <w:rsid w:val="004E339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86">
    <w:name w:val="xl86"/>
    <w:basedOn w:val="Normal"/>
    <w:rsid w:val="004E3390"/>
    <w:pPr>
      <w:shd w:val="clear" w:color="000000" w:fill="4BACC6"/>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val="en-US" w:eastAsia="en-US"/>
    </w:rPr>
  </w:style>
  <w:style w:type="paragraph" w:customStyle="1" w:styleId="xl87">
    <w:name w:val="xl87"/>
    <w:basedOn w:val="Normal"/>
    <w:rsid w:val="004E3390"/>
    <w:pP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en-US"/>
    </w:rPr>
  </w:style>
  <w:style w:type="paragraph" w:customStyle="1" w:styleId="xl88">
    <w:name w:val="xl88"/>
    <w:basedOn w:val="Normal"/>
    <w:rsid w:val="004E3390"/>
    <w:pPr>
      <w:pBdr>
        <w:top w:val="single" w:sz="8" w:space="0" w:color="4F81BD"/>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styleId="Textodeglobo">
    <w:name w:val="Balloon Text"/>
    <w:basedOn w:val="Normal"/>
    <w:link w:val="TextodegloboCar"/>
    <w:uiPriority w:val="99"/>
    <w:semiHidden/>
    <w:unhideWhenUsed/>
    <w:rsid w:val="00EB49C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9C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43216">
      <w:bodyDiv w:val="1"/>
      <w:marLeft w:val="0"/>
      <w:marRight w:val="0"/>
      <w:marTop w:val="0"/>
      <w:marBottom w:val="0"/>
      <w:divBdr>
        <w:top w:val="none" w:sz="0" w:space="0" w:color="auto"/>
        <w:left w:val="none" w:sz="0" w:space="0" w:color="auto"/>
        <w:bottom w:val="none" w:sz="0" w:space="0" w:color="auto"/>
        <w:right w:val="none" w:sz="0" w:space="0" w:color="auto"/>
      </w:divBdr>
    </w:div>
    <w:div w:id="162092325">
      <w:bodyDiv w:val="1"/>
      <w:marLeft w:val="0"/>
      <w:marRight w:val="0"/>
      <w:marTop w:val="0"/>
      <w:marBottom w:val="0"/>
      <w:divBdr>
        <w:top w:val="none" w:sz="0" w:space="0" w:color="auto"/>
        <w:left w:val="none" w:sz="0" w:space="0" w:color="auto"/>
        <w:bottom w:val="none" w:sz="0" w:space="0" w:color="auto"/>
        <w:right w:val="none" w:sz="0" w:space="0" w:color="auto"/>
      </w:divBdr>
    </w:div>
    <w:div w:id="237180255">
      <w:bodyDiv w:val="1"/>
      <w:marLeft w:val="0"/>
      <w:marRight w:val="0"/>
      <w:marTop w:val="0"/>
      <w:marBottom w:val="0"/>
      <w:divBdr>
        <w:top w:val="none" w:sz="0" w:space="0" w:color="auto"/>
        <w:left w:val="none" w:sz="0" w:space="0" w:color="auto"/>
        <w:bottom w:val="none" w:sz="0" w:space="0" w:color="auto"/>
        <w:right w:val="none" w:sz="0" w:space="0" w:color="auto"/>
      </w:divBdr>
      <w:divsChild>
        <w:div w:id="369456627">
          <w:marLeft w:val="360"/>
          <w:marRight w:val="0"/>
          <w:marTop w:val="12"/>
          <w:marBottom w:val="60"/>
          <w:divBdr>
            <w:top w:val="none" w:sz="0" w:space="0" w:color="auto"/>
            <w:left w:val="none" w:sz="0" w:space="0" w:color="auto"/>
            <w:bottom w:val="none" w:sz="0" w:space="0" w:color="auto"/>
            <w:right w:val="none" w:sz="0" w:space="0" w:color="auto"/>
          </w:divBdr>
        </w:div>
        <w:div w:id="675154952">
          <w:marLeft w:val="360"/>
          <w:marRight w:val="0"/>
          <w:marTop w:val="12"/>
          <w:marBottom w:val="60"/>
          <w:divBdr>
            <w:top w:val="none" w:sz="0" w:space="0" w:color="auto"/>
            <w:left w:val="none" w:sz="0" w:space="0" w:color="auto"/>
            <w:bottom w:val="none" w:sz="0" w:space="0" w:color="auto"/>
            <w:right w:val="none" w:sz="0" w:space="0" w:color="auto"/>
          </w:divBdr>
        </w:div>
        <w:div w:id="946348088">
          <w:marLeft w:val="360"/>
          <w:marRight w:val="0"/>
          <w:marTop w:val="12"/>
          <w:marBottom w:val="60"/>
          <w:divBdr>
            <w:top w:val="none" w:sz="0" w:space="0" w:color="auto"/>
            <w:left w:val="none" w:sz="0" w:space="0" w:color="auto"/>
            <w:bottom w:val="none" w:sz="0" w:space="0" w:color="auto"/>
            <w:right w:val="none" w:sz="0" w:space="0" w:color="auto"/>
          </w:divBdr>
        </w:div>
        <w:div w:id="1356074834">
          <w:marLeft w:val="360"/>
          <w:marRight w:val="0"/>
          <w:marTop w:val="12"/>
          <w:marBottom w:val="60"/>
          <w:divBdr>
            <w:top w:val="none" w:sz="0" w:space="0" w:color="auto"/>
            <w:left w:val="none" w:sz="0" w:space="0" w:color="auto"/>
            <w:bottom w:val="none" w:sz="0" w:space="0" w:color="auto"/>
            <w:right w:val="none" w:sz="0" w:space="0" w:color="auto"/>
          </w:divBdr>
        </w:div>
      </w:divsChild>
    </w:div>
    <w:div w:id="253710375">
      <w:bodyDiv w:val="1"/>
      <w:marLeft w:val="0"/>
      <w:marRight w:val="0"/>
      <w:marTop w:val="0"/>
      <w:marBottom w:val="0"/>
      <w:divBdr>
        <w:top w:val="none" w:sz="0" w:space="0" w:color="auto"/>
        <w:left w:val="none" w:sz="0" w:space="0" w:color="auto"/>
        <w:bottom w:val="none" w:sz="0" w:space="0" w:color="auto"/>
        <w:right w:val="none" w:sz="0" w:space="0" w:color="auto"/>
      </w:divBdr>
    </w:div>
    <w:div w:id="296034133">
      <w:bodyDiv w:val="1"/>
      <w:marLeft w:val="0"/>
      <w:marRight w:val="0"/>
      <w:marTop w:val="0"/>
      <w:marBottom w:val="0"/>
      <w:divBdr>
        <w:top w:val="none" w:sz="0" w:space="0" w:color="auto"/>
        <w:left w:val="none" w:sz="0" w:space="0" w:color="auto"/>
        <w:bottom w:val="none" w:sz="0" w:space="0" w:color="auto"/>
        <w:right w:val="none" w:sz="0" w:space="0" w:color="auto"/>
      </w:divBdr>
      <w:divsChild>
        <w:div w:id="720590938">
          <w:marLeft w:val="360"/>
          <w:marRight w:val="0"/>
          <w:marTop w:val="12"/>
          <w:marBottom w:val="60"/>
          <w:divBdr>
            <w:top w:val="none" w:sz="0" w:space="0" w:color="auto"/>
            <w:left w:val="none" w:sz="0" w:space="0" w:color="auto"/>
            <w:bottom w:val="none" w:sz="0" w:space="0" w:color="auto"/>
            <w:right w:val="none" w:sz="0" w:space="0" w:color="auto"/>
          </w:divBdr>
        </w:div>
        <w:div w:id="890267934">
          <w:marLeft w:val="360"/>
          <w:marRight w:val="0"/>
          <w:marTop w:val="12"/>
          <w:marBottom w:val="60"/>
          <w:divBdr>
            <w:top w:val="none" w:sz="0" w:space="0" w:color="auto"/>
            <w:left w:val="none" w:sz="0" w:space="0" w:color="auto"/>
            <w:bottom w:val="none" w:sz="0" w:space="0" w:color="auto"/>
            <w:right w:val="none" w:sz="0" w:space="0" w:color="auto"/>
          </w:divBdr>
        </w:div>
        <w:div w:id="1470709322">
          <w:marLeft w:val="360"/>
          <w:marRight w:val="0"/>
          <w:marTop w:val="12"/>
          <w:marBottom w:val="60"/>
          <w:divBdr>
            <w:top w:val="none" w:sz="0" w:space="0" w:color="auto"/>
            <w:left w:val="none" w:sz="0" w:space="0" w:color="auto"/>
            <w:bottom w:val="none" w:sz="0" w:space="0" w:color="auto"/>
            <w:right w:val="none" w:sz="0" w:space="0" w:color="auto"/>
          </w:divBdr>
        </w:div>
        <w:div w:id="2113629512">
          <w:marLeft w:val="360"/>
          <w:marRight w:val="0"/>
          <w:marTop w:val="12"/>
          <w:marBottom w:val="60"/>
          <w:divBdr>
            <w:top w:val="none" w:sz="0" w:space="0" w:color="auto"/>
            <w:left w:val="none" w:sz="0" w:space="0" w:color="auto"/>
            <w:bottom w:val="none" w:sz="0" w:space="0" w:color="auto"/>
            <w:right w:val="none" w:sz="0" w:space="0" w:color="auto"/>
          </w:divBdr>
        </w:div>
      </w:divsChild>
    </w:div>
    <w:div w:id="326059141">
      <w:bodyDiv w:val="1"/>
      <w:marLeft w:val="0"/>
      <w:marRight w:val="0"/>
      <w:marTop w:val="0"/>
      <w:marBottom w:val="0"/>
      <w:divBdr>
        <w:top w:val="none" w:sz="0" w:space="0" w:color="auto"/>
        <w:left w:val="none" w:sz="0" w:space="0" w:color="auto"/>
        <w:bottom w:val="none" w:sz="0" w:space="0" w:color="auto"/>
        <w:right w:val="none" w:sz="0" w:space="0" w:color="auto"/>
      </w:divBdr>
      <w:divsChild>
        <w:div w:id="107509171">
          <w:marLeft w:val="274"/>
          <w:marRight w:val="0"/>
          <w:marTop w:val="150"/>
          <w:marBottom w:val="0"/>
          <w:divBdr>
            <w:top w:val="none" w:sz="0" w:space="0" w:color="auto"/>
            <w:left w:val="none" w:sz="0" w:space="0" w:color="auto"/>
            <w:bottom w:val="none" w:sz="0" w:space="0" w:color="auto"/>
            <w:right w:val="none" w:sz="0" w:space="0" w:color="auto"/>
          </w:divBdr>
        </w:div>
        <w:div w:id="322701024">
          <w:marLeft w:val="274"/>
          <w:marRight w:val="0"/>
          <w:marTop w:val="150"/>
          <w:marBottom w:val="0"/>
          <w:divBdr>
            <w:top w:val="none" w:sz="0" w:space="0" w:color="auto"/>
            <w:left w:val="none" w:sz="0" w:space="0" w:color="auto"/>
            <w:bottom w:val="none" w:sz="0" w:space="0" w:color="auto"/>
            <w:right w:val="none" w:sz="0" w:space="0" w:color="auto"/>
          </w:divBdr>
        </w:div>
        <w:div w:id="482623566">
          <w:marLeft w:val="274"/>
          <w:marRight w:val="0"/>
          <w:marTop w:val="150"/>
          <w:marBottom w:val="0"/>
          <w:divBdr>
            <w:top w:val="none" w:sz="0" w:space="0" w:color="auto"/>
            <w:left w:val="none" w:sz="0" w:space="0" w:color="auto"/>
            <w:bottom w:val="none" w:sz="0" w:space="0" w:color="auto"/>
            <w:right w:val="none" w:sz="0" w:space="0" w:color="auto"/>
          </w:divBdr>
        </w:div>
        <w:div w:id="1463764403">
          <w:marLeft w:val="274"/>
          <w:marRight w:val="0"/>
          <w:marTop w:val="150"/>
          <w:marBottom w:val="0"/>
          <w:divBdr>
            <w:top w:val="none" w:sz="0" w:space="0" w:color="auto"/>
            <w:left w:val="none" w:sz="0" w:space="0" w:color="auto"/>
            <w:bottom w:val="none" w:sz="0" w:space="0" w:color="auto"/>
            <w:right w:val="none" w:sz="0" w:space="0" w:color="auto"/>
          </w:divBdr>
        </w:div>
      </w:divsChild>
    </w:div>
    <w:div w:id="357389343">
      <w:bodyDiv w:val="1"/>
      <w:marLeft w:val="0"/>
      <w:marRight w:val="0"/>
      <w:marTop w:val="0"/>
      <w:marBottom w:val="0"/>
      <w:divBdr>
        <w:top w:val="none" w:sz="0" w:space="0" w:color="auto"/>
        <w:left w:val="none" w:sz="0" w:space="0" w:color="auto"/>
        <w:bottom w:val="none" w:sz="0" w:space="0" w:color="auto"/>
        <w:right w:val="none" w:sz="0" w:space="0" w:color="auto"/>
      </w:divBdr>
    </w:div>
    <w:div w:id="528177059">
      <w:bodyDiv w:val="1"/>
      <w:marLeft w:val="0"/>
      <w:marRight w:val="0"/>
      <w:marTop w:val="0"/>
      <w:marBottom w:val="0"/>
      <w:divBdr>
        <w:top w:val="none" w:sz="0" w:space="0" w:color="auto"/>
        <w:left w:val="none" w:sz="0" w:space="0" w:color="auto"/>
        <w:bottom w:val="none" w:sz="0" w:space="0" w:color="auto"/>
        <w:right w:val="none" w:sz="0" w:space="0" w:color="auto"/>
      </w:divBdr>
    </w:div>
    <w:div w:id="542600404">
      <w:bodyDiv w:val="1"/>
      <w:marLeft w:val="0"/>
      <w:marRight w:val="0"/>
      <w:marTop w:val="0"/>
      <w:marBottom w:val="0"/>
      <w:divBdr>
        <w:top w:val="none" w:sz="0" w:space="0" w:color="auto"/>
        <w:left w:val="none" w:sz="0" w:space="0" w:color="auto"/>
        <w:bottom w:val="none" w:sz="0" w:space="0" w:color="auto"/>
        <w:right w:val="none" w:sz="0" w:space="0" w:color="auto"/>
      </w:divBdr>
      <w:divsChild>
        <w:div w:id="919870883">
          <w:marLeft w:val="360"/>
          <w:marRight w:val="0"/>
          <w:marTop w:val="12"/>
          <w:marBottom w:val="60"/>
          <w:divBdr>
            <w:top w:val="none" w:sz="0" w:space="0" w:color="auto"/>
            <w:left w:val="none" w:sz="0" w:space="0" w:color="auto"/>
            <w:bottom w:val="none" w:sz="0" w:space="0" w:color="auto"/>
            <w:right w:val="none" w:sz="0" w:space="0" w:color="auto"/>
          </w:divBdr>
        </w:div>
        <w:div w:id="1086264352">
          <w:marLeft w:val="360"/>
          <w:marRight w:val="0"/>
          <w:marTop w:val="12"/>
          <w:marBottom w:val="60"/>
          <w:divBdr>
            <w:top w:val="none" w:sz="0" w:space="0" w:color="auto"/>
            <w:left w:val="none" w:sz="0" w:space="0" w:color="auto"/>
            <w:bottom w:val="none" w:sz="0" w:space="0" w:color="auto"/>
            <w:right w:val="none" w:sz="0" w:space="0" w:color="auto"/>
          </w:divBdr>
        </w:div>
        <w:div w:id="1509056455">
          <w:marLeft w:val="360"/>
          <w:marRight w:val="0"/>
          <w:marTop w:val="12"/>
          <w:marBottom w:val="60"/>
          <w:divBdr>
            <w:top w:val="none" w:sz="0" w:space="0" w:color="auto"/>
            <w:left w:val="none" w:sz="0" w:space="0" w:color="auto"/>
            <w:bottom w:val="none" w:sz="0" w:space="0" w:color="auto"/>
            <w:right w:val="none" w:sz="0" w:space="0" w:color="auto"/>
          </w:divBdr>
        </w:div>
        <w:div w:id="1892374862">
          <w:marLeft w:val="360"/>
          <w:marRight w:val="0"/>
          <w:marTop w:val="12"/>
          <w:marBottom w:val="60"/>
          <w:divBdr>
            <w:top w:val="none" w:sz="0" w:space="0" w:color="auto"/>
            <w:left w:val="none" w:sz="0" w:space="0" w:color="auto"/>
            <w:bottom w:val="none" w:sz="0" w:space="0" w:color="auto"/>
            <w:right w:val="none" w:sz="0" w:space="0" w:color="auto"/>
          </w:divBdr>
        </w:div>
      </w:divsChild>
    </w:div>
    <w:div w:id="786045754">
      <w:bodyDiv w:val="1"/>
      <w:marLeft w:val="0"/>
      <w:marRight w:val="0"/>
      <w:marTop w:val="0"/>
      <w:marBottom w:val="0"/>
      <w:divBdr>
        <w:top w:val="none" w:sz="0" w:space="0" w:color="auto"/>
        <w:left w:val="none" w:sz="0" w:space="0" w:color="auto"/>
        <w:bottom w:val="none" w:sz="0" w:space="0" w:color="auto"/>
        <w:right w:val="none" w:sz="0" w:space="0" w:color="auto"/>
      </w:divBdr>
      <w:divsChild>
        <w:div w:id="131022707">
          <w:marLeft w:val="360"/>
          <w:marRight w:val="0"/>
          <w:marTop w:val="12"/>
          <w:marBottom w:val="60"/>
          <w:divBdr>
            <w:top w:val="none" w:sz="0" w:space="0" w:color="auto"/>
            <w:left w:val="none" w:sz="0" w:space="0" w:color="auto"/>
            <w:bottom w:val="none" w:sz="0" w:space="0" w:color="auto"/>
            <w:right w:val="none" w:sz="0" w:space="0" w:color="auto"/>
          </w:divBdr>
        </w:div>
        <w:div w:id="1362589094">
          <w:marLeft w:val="360"/>
          <w:marRight w:val="0"/>
          <w:marTop w:val="12"/>
          <w:marBottom w:val="60"/>
          <w:divBdr>
            <w:top w:val="none" w:sz="0" w:space="0" w:color="auto"/>
            <w:left w:val="none" w:sz="0" w:space="0" w:color="auto"/>
            <w:bottom w:val="none" w:sz="0" w:space="0" w:color="auto"/>
            <w:right w:val="none" w:sz="0" w:space="0" w:color="auto"/>
          </w:divBdr>
        </w:div>
        <w:div w:id="1536236330">
          <w:marLeft w:val="360"/>
          <w:marRight w:val="0"/>
          <w:marTop w:val="12"/>
          <w:marBottom w:val="60"/>
          <w:divBdr>
            <w:top w:val="none" w:sz="0" w:space="0" w:color="auto"/>
            <w:left w:val="none" w:sz="0" w:space="0" w:color="auto"/>
            <w:bottom w:val="none" w:sz="0" w:space="0" w:color="auto"/>
            <w:right w:val="none" w:sz="0" w:space="0" w:color="auto"/>
          </w:divBdr>
        </w:div>
        <w:div w:id="2030983734">
          <w:marLeft w:val="360"/>
          <w:marRight w:val="0"/>
          <w:marTop w:val="12"/>
          <w:marBottom w:val="60"/>
          <w:divBdr>
            <w:top w:val="none" w:sz="0" w:space="0" w:color="auto"/>
            <w:left w:val="none" w:sz="0" w:space="0" w:color="auto"/>
            <w:bottom w:val="none" w:sz="0" w:space="0" w:color="auto"/>
            <w:right w:val="none" w:sz="0" w:space="0" w:color="auto"/>
          </w:divBdr>
        </w:div>
      </w:divsChild>
    </w:div>
    <w:div w:id="978076080">
      <w:bodyDiv w:val="1"/>
      <w:marLeft w:val="0"/>
      <w:marRight w:val="0"/>
      <w:marTop w:val="0"/>
      <w:marBottom w:val="0"/>
      <w:divBdr>
        <w:top w:val="none" w:sz="0" w:space="0" w:color="auto"/>
        <w:left w:val="none" w:sz="0" w:space="0" w:color="auto"/>
        <w:bottom w:val="none" w:sz="0" w:space="0" w:color="auto"/>
        <w:right w:val="none" w:sz="0" w:space="0" w:color="auto"/>
      </w:divBdr>
    </w:div>
    <w:div w:id="1050304891">
      <w:bodyDiv w:val="1"/>
      <w:marLeft w:val="0"/>
      <w:marRight w:val="0"/>
      <w:marTop w:val="0"/>
      <w:marBottom w:val="0"/>
      <w:divBdr>
        <w:top w:val="none" w:sz="0" w:space="0" w:color="auto"/>
        <w:left w:val="none" w:sz="0" w:space="0" w:color="auto"/>
        <w:bottom w:val="none" w:sz="0" w:space="0" w:color="auto"/>
        <w:right w:val="none" w:sz="0" w:space="0" w:color="auto"/>
      </w:divBdr>
      <w:divsChild>
        <w:div w:id="608436537">
          <w:marLeft w:val="274"/>
          <w:marRight w:val="0"/>
          <w:marTop w:val="150"/>
          <w:marBottom w:val="0"/>
          <w:divBdr>
            <w:top w:val="none" w:sz="0" w:space="0" w:color="auto"/>
            <w:left w:val="none" w:sz="0" w:space="0" w:color="auto"/>
            <w:bottom w:val="none" w:sz="0" w:space="0" w:color="auto"/>
            <w:right w:val="none" w:sz="0" w:space="0" w:color="auto"/>
          </w:divBdr>
        </w:div>
        <w:div w:id="974992222">
          <w:marLeft w:val="274"/>
          <w:marRight w:val="0"/>
          <w:marTop w:val="150"/>
          <w:marBottom w:val="0"/>
          <w:divBdr>
            <w:top w:val="none" w:sz="0" w:space="0" w:color="auto"/>
            <w:left w:val="none" w:sz="0" w:space="0" w:color="auto"/>
            <w:bottom w:val="none" w:sz="0" w:space="0" w:color="auto"/>
            <w:right w:val="none" w:sz="0" w:space="0" w:color="auto"/>
          </w:divBdr>
        </w:div>
        <w:div w:id="1359434550">
          <w:marLeft w:val="274"/>
          <w:marRight w:val="0"/>
          <w:marTop w:val="150"/>
          <w:marBottom w:val="0"/>
          <w:divBdr>
            <w:top w:val="none" w:sz="0" w:space="0" w:color="auto"/>
            <w:left w:val="none" w:sz="0" w:space="0" w:color="auto"/>
            <w:bottom w:val="none" w:sz="0" w:space="0" w:color="auto"/>
            <w:right w:val="none" w:sz="0" w:space="0" w:color="auto"/>
          </w:divBdr>
        </w:div>
        <w:div w:id="2048875245">
          <w:marLeft w:val="274"/>
          <w:marRight w:val="0"/>
          <w:marTop w:val="150"/>
          <w:marBottom w:val="0"/>
          <w:divBdr>
            <w:top w:val="none" w:sz="0" w:space="0" w:color="auto"/>
            <w:left w:val="none" w:sz="0" w:space="0" w:color="auto"/>
            <w:bottom w:val="none" w:sz="0" w:space="0" w:color="auto"/>
            <w:right w:val="none" w:sz="0" w:space="0" w:color="auto"/>
          </w:divBdr>
        </w:div>
      </w:divsChild>
    </w:div>
    <w:div w:id="1162967889">
      <w:bodyDiv w:val="1"/>
      <w:marLeft w:val="0"/>
      <w:marRight w:val="0"/>
      <w:marTop w:val="0"/>
      <w:marBottom w:val="0"/>
      <w:divBdr>
        <w:top w:val="none" w:sz="0" w:space="0" w:color="auto"/>
        <w:left w:val="none" w:sz="0" w:space="0" w:color="auto"/>
        <w:bottom w:val="none" w:sz="0" w:space="0" w:color="auto"/>
        <w:right w:val="none" w:sz="0" w:space="0" w:color="auto"/>
      </w:divBdr>
    </w:div>
    <w:div w:id="1180238100">
      <w:bodyDiv w:val="1"/>
      <w:marLeft w:val="0"/>
      <w:marRight w:val="0"/>
      <w:marTop w:val="0"/>
      <w:marBottom w:val="0"/>
      <w:divBdr>
        <w:top w:val="none" w:sz="0" w:space="0" w:color="auto"/>
        <w:left w:val="none" w:sz="0" w:space="0" w:color="auto"/>
        <w:bottom w:val="none" w:sz="0" w:space="0" w:color="auto"/>
        <w:right w:val="none" w:sz="0" w:space="0" w:color="auto"/>
      </w:divBdr>
      <w:divsChild>
        <w:div w:id="413205889">
          <w:marLeft w:val="360"/>
          <w:marRight w:val="0"/>
          <w:marTop w:val="12"/>
          <w:marBottom w:val="60"/>
          <w:divBdr>
            <w:top w:val="none" w:sz="0" w:space="0" w:color="auto"/>
            <w:left w:val="none" w:sz="0" w:space="0" w:color="auto"/>
            <w:bottom w:val="none" w:sz="0" w:space="0" w:color="auto"/>
            <w:right w:val="none" w:sz="0" w:space="0" w:color="auto"/>
          </w:divBdr>
        </w:div>
        <w:div w:id="843085060">
          <w:marLeft w:val="360"/>
          <w:marRight w:val="0"/>
          <w:marTop w:val="12"/>
          <w:marBottom w:val="60"/>
          <w:divBdr>
            <w:top w:val="none" w:sz="0" w:space="0" w:color="auto"/>
            <w:left w:val="none" w:sz="0" w:space="0" w:color="auto"/>
            <w:bottom w:val="none" w:sz="0" w:space="0" w:color="auto"/>
            <w:right w:val="none" w:sz="0" w:space="0" w:color="auto"/>
          </w:divBdr>
        </w:div>
        <w:div w:id="971323144">
          <w:marLeft w:val="360"/>
          <w:marRight w:val="0"/>
          <w:marTop w:val="12"/>
          <w:marBottom w:val="60"/>
          <w:divBdr>
            <w:top w:val="none" w:sz="0" w:space="0" w:color="auto"/>
            <w:left w:val="none" w:sz="0" w:space="0" w:color="auto"/>
            <w:bottom w:val="none" w:sz="0" w:space="0" w:color="auto"/>
            <w:right w:val="none" w:sz="0" w:space="0" w:color="auto"/>
          </w:divBdr>
        </w:div>
        <w:div w:id="1350792117">
          <w:marLeft w:val="360"/>
          <w:marRight w:val="0"/>
          <w:marTop w:val="12"/>
          <w:marBottom w:val="60"/>
          <w:divBdr>
            <w:top w:val="none" w:sz="0" w:space="0" w:color="auto"/>
            <w:left w:val="none" w:sz="0" w:space="0" w:color="auto"/>
            <w:bottom w:val="none" w:sz="0" w:space="0" w:color="auto"/>
            <w:right w:val="none" w:sz="0" w:space="0" w:color="auto"/>
          </w:divBdr>
        </w:div>
      </w:divsChild>
    </w:div>
    <w:div w:id="1215310763">
      <w:bodyDiv w:val="1"/>
      <w:marLeft w:val="0"/>
      <w:marRight w:val="0"/>
      <w:marTop w:val="0"/>
      <w:marBottom w:val="0"/>
      <w:divBdr>
        <w:top w:val="none" w:sz="0" w:space="0" w:color="auto"/>
        <w:left w:val="none" w:sz="0" w:space="0" w:color="auto"/>
        <w:bottom w:val="none" w:sz="0" w:space="0" w:color="auto"/>
        <w:right w:val="none" w:sz="0" w:space="0" w:color="auto"/>
      </w:divBdr>
      <w:divsChild>
        <w:div w:id="416050417">
          <w:marLeft w:val="360"/>
          <w:marRight w:val="0"/>
          <w:marTop w:val="12"/>
          <w:marBottom w:val="60"/>
          <w:divBdr>
            <w:top w:val="none" w:sz="0" w:space="0" w:color="auto"/>
            <w:left w:val="none" w:sz="0" w:space="0" w:color="auto"/>
            <w:bottom w:val="none" w:sz="0" w:space="0" w:color="auto"/>
            <w:right w:val="none" w:sz="0" w:space="0" w:color="auto"/>
          </w:divBdr>
        </w:div>
        <w:div w:id="761729433">
          <w:marLeft w:val="360"/>
          <w:marRight w:val="0"/>
          <w:marTop w:val="12"/>
          <w:marBottom w:val="60"/>
          <w:divBdr>
            <w:top w:val="none" w:sz="0" w:space="0" w:color="auto"/>
            <w:left w:val="none" w:sz="0" w:space="0" w:color="auto"/>
            <w:bottom w:val="none" w:sz="0" w:space="0" w:color="auto"/>
            <w:right w:val="none" w:sz="0" w:space="0" w:color="auto"/>
          </w:divBdr>
        </w:div>
        <w:div w:id="897011427">
          <w:marLeft w:val="360"/>
          <w:marRight w:val="0"/>
          <w:marTop w:val="12"/>
          <w:marBottom w:val="60"/>
          <w:divBdr>
            <w:top w:val="none" w:sz="0" w:space="0" w:color="auto"/>
            <w:left w:val="none" w:sz="0" w:space="0" w:color="auto"/>
            <w:bottom w:val="none" w:sz="0" w:space="0" w:color="auto"/>
            <w:right w:val="none" w:sz="0" w:space="0" w:color="auto"/>
          </w:divBdr>
        </w:div>
        <w:div w:id="2006393053">
          <w:marLeft w:val="360"/>
          <w:marRight w:val="0"/>
          <w:marTop w:val="12"/>
          <w:marBottom w:val="60"/>
          <w:divBdr>
            <w:top w:val="none" w:sz="0" w:space="0" w:color="auto"/>
            <w:left w:val="none" w:sz="0" w:space="0" w:color="auto"/>
            <w:bottom w:val="none" w:sz="0" w:space="0" w:color="auto"/>
            <w:right w:val="none" w:sz="0" w:space="0" w:color="auto"/>
          </w:divBdr>
        </w:div>
      </w:divsChild>
    </w:div>
    <w:div w:id="1287665460">
      <w:bodyDiv w:val="1"/>
      <w:marLeft w:val="0"/>
      <w:marRight w:val="0"/>
      <w:marTop w:val="0"/>
      <w:marBottom w:val="0"/>
      <w:divBdr>
        <w:top w:val="none" w:sz="0" w:space="0" w:color="auto"/>
        <w:left w:val="none" w:sz="0" w:space="0" w:color="auto"/>
        <w:bottom w:val="none" w:sz="0" w:space="0" w:color="auto"/>
        <w:right w:val="none" w:sz="0" w:space="0" w:color="auto"/>
      </w:divBdr>
    </w:div>
    <w:div w:id="1388534377">
      <w:bodyDiv w:val="1"/>
      <w:marLeft w:val="0"/>
      <w:marRight w:val="0"/>
      <w:marTop w:val="0"/>
      <w:marBottom w:val="0"/>
      <w:divBdr>
        <w:top w:val="none" w:sz="0" w:space="0" w:color="auto"/>
        <w:left w:val="none" w:sz="0" w:space="0" w:color="auto"/>
        <w:bottom w:val="none" w:sz="0" w:space="0" w:color="auto"/>
        <w:right w:val="none" w:sz="0" w:space="0" w:color="auto"/>
      </w:divBdr>
    </w:div>
    <w:div w:id="1397128617">
      <w:bodyDiv w:val="1"/>
      <w:marLeft w:val="0"/>
      <w:marRight w:val="0"/>
      <w:marTop w:val="0"/>
      <w:marBottom w:val="0"/>
      <w:divBdr>
        <w:top w:val="none" w:sz="0" w:space="0" w:color="auto"/>
        <w:left w:val="none" w:sz="0" w:space="0" w:color="auto"/>
        <w:bottom w:val="none" w:sz="0" w:space="0" w:color="auto"/>
        <w:right w:val="none" w:sz="0" w:space="0" w:color="auto"/>
      </w:divBdr>
    </w:div>
    <w:div w:id="1588878454">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718160147">
      <w:bodyDiv w:val="1"/>
      <w:marLeft w:val="0"/>
      <w:marRight w:val="0"/>
      <w:marTop w:val="0"/>
      <w:marBottom w:val="0"/>
      <w:divBdr>
        <w:top w:val="none" w:sz="0" w:space="0" w:color="auto"/>
        <w:left w:val="none" w:sz="0" w:space="0" w:color="auto"/>
        <w:bottom w:val="none" w:sz="0" w:space="0" w:color="auto"/>
        <w:right w:val="none" w:sz="0" w:space="0" w:color="auto"/>
      </w:divBdr>
    </w:div>
    <w:div w:id="1782801537">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7">
          <w:marLeft w:val="360"/>
          <w:marRight w:val="0"/>
          <w:marTop w:val="12"/>
          <w:marBottom w:val="60"/>
          <w:divBdr>
            <w:top w:val="none" w:sz="0" w:space="0" w:color="auto"/>
            <w:left w:val="none" w:sz="0" w:space="0" w:color="auto"/>
            <w:bottom w:val="none" w:sz="0" w:space="0" w:color="auto"/>
            <w:right w:val="none" w:sz="0" w:space="0" w:color="auto"/>
          </w:divBdr>
        </w:div>
        <w:div w:id="1139571946">
          <w:marLeft w:val="360"/>
          <w:marRight w:val="0"/>
          <w:marTop w:val="12"/>
          <w:marBottom w:val="60"/>
          <w:divBdr>
            <w:top w:val="none" w:sz="0" w:space="0" w:color="auto"/>
            <w:left w:val="none" w:sz="0" w:space="0" w:color="auto"/>
            <w:bottom w:val="none" w:sz="0" w:space="0" w:color="auto"/>
            <w:right w:val="none" w:sz="0" w:space="0" w:color="auto"/>
          </w:divBdr>
        </w:div>
        <w:div w:id="1496796305">
          <w:marLeft w:val="360"/>
          <w:marRight w:val="0"/>
          <w:marTop w:val="12"/>
          <w:marBottom w:val="60"/>
          <w:divBdr>
            <w:top w:val="none" w:sz="0" w:space="0" w:color="auto"/>
            <w:left w:val="none" w:sz="0" w:space="0" w:color="auto"/>
            <w:bottom w:val="none" w:sz="0" w:space="0" w:color="auto"/>
            <w:right w:val="none" w:sz="0" w:space="0" w:color="auto"/>
          </w:divBdr>
        </w:div>
        <w:div w:id="1520705101">
          <w:marLeft w:val="360"/>
          <w:marRight w:val="0"/>
          <w:marTop w:val="12"/>
          <w:marBottom w:val="60"/>
          <w:divBdr>
            <w:top w:val="none" w:sz="0" w:space="0" w:color="auto"/>
            <w:left w:val="none" w:sz="0" w:space="0" w:color="auto"/>
            <w:bottom w:val="none" w:sz="0" w:space="0" w:color="auto"/>
            <w:right w:val="none" w:sz="0" w:space="0" w:color="auto"/>
          </w:divBdr>
        </w:div>
      </w:divsChild>
    </w:div>
    <w:div w:id="1826629025">
      <w:bodyDiv w:val="1"/>
      <w:marLeft w:val="0"/>
      <w:marRight w:val="0"/>
      <w:marTop w:val="0"/>
      <w:marBottom w:val="0"/>
      <w:divBdr>
        <w:top w:val="none" w:sz="0" w:space="0" w:color="auto"/>
        <w:left w:val="none" w:sz="0" w:space="0" w:color="auto"/>
        <w:bottom w:val="none" w:sz="0" w:space="0" w:color="auto"/>
        <w:right w:val="none" w:sz="0" w:space="0" w:color="auto"/>
      </w:divBdr>
    </w:div>
    <w:div w:id="1885798965">
      <w:bodyDiv w:val="1"/>
      <w:marLeft w:val="0"/>
      <w:marRight w:val="0"/>
      <w:marTop w:val="0"/>
      <w:marBottom w:val="0"/>
      <w:divBdr>
        <w:top w:val="none" w:sz="0" w:space="0" w:color="auto"/>
        <w:left w:val="none" w:sz="0" w:space="0" w:color="auto"/>
        <w:bottom w:val="none" w:sz="0" w:space="0" w:color="auto"/>
        <w:right w:val="none" w:sz="0" w:space="0" w:color="auto"/>
      </w:divBdr>
      <w:divsChild>
        <w:div w:id="108551871">
          <w:marLeft w:val="360"/>
          <w:marRight w:val="0"/>
          <w:marTop w:val="12"/>
          <w:marBottom w:val="60"/>
          <w:divBdr>
            <w:top w:val="none" w:sz="0" w:space="0" w:color="auto"/>
            <w:left w:val="none" w:sz="0" w:space="0" w:color="auto"/>
            <w:bottom w:val="none" w:sz="0" w:space="0" w:color="auto"/>
            <w:right w:val="none" w:sz="0" w:space="0" w:color="auto"/>
          </w:divBdr>
        </w:div>
        <w:div w:id="1027024081">
          <w:marLeft w:val="360"/>
          <w:marRight w:val="0"/>
          <w:marTop w:val="12"/>
          <w:marBottom w:val="60"/>
          <w:divBdr>
            <w:top w:val="none" w:sz="0" w:space="0" w:color="auto"/>
            <w:left w:val="none" w:sz="0" w:space="0" w:color="auto"/>
            <w:bottom w:val="none" w:sz="0" w:space="0" w:color="auto"/>
            <w:right w:val="none" w:sz="0" w:space="0" w:color="auto"/>
          </w:divBdr>
        </w:div>
        <w:div w:id="1141507892">
          <w:marLeft w:val="360"/>
          <w:marRight w:val="0"/>
          <w:marTop w:val="12"/>
          <w:marBottom w:val="60"/>
          <w:divBdr>
            <w:top w:val="none" w:sz="0" w:space="0" w:color="auto"/>
            <w:left w:val="none" w:sz="0" w:space="0" w:color="auto"/>
            <w:bottom w:val="none" w:sz="0" w:space="0" w:color="auto"/>
            <w:right w:val="none" w:sz="0" w:space="0" w:color="auto"/>
          </w:divBdr>
        </w:div>
        <w:div w:id="1913616709">
          <w:marLeft w:val="360"/>
          <w:marRight w:val="0"/>
          <w:marTop w:val="12"/>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mailto:cien@metyis.com" TargetMode="Externa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1.sv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cienotariad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cid:1772an$IN338013403703110@cgn133" TargetMode="External"/><Relationship Id="rId2" Type="http://schemas.openxmlformats.org/officeDocument/2006/relationships/image" Target="media/image1.jpeg"/><Relationship Id="rId1" Type="http://schemas.openxmlformats.org/officeDocument/2006/relationships/hyperlink" Target="http://www.cienotariado.org"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cienotariado.org" TargetMode="External"/><Relationship Id="rId1" Type="http://schemas.openxmlformats.org/officeDocument/2006/relationships/image" Target="media/image2.png"/><Relationship Id="rId4" Type="http://schemas.openxmlformats.org/officeDocument/2006/relationships/image" Target="cid:1772an$IN338013403703110@cgn133" TargetMode="External"/></Relationships>
</file>

<file path=word/_rels/header3.xml.rels><?xml version="1.0" encoding="UTF-8" standalone="yes"?>
<Relationships xmlns="http://schemas.openxmlformats.org/package/2006/relationships"><Relationship Id="rId3" Type="http://schemas.openxmlformats.org/officeDocument/2006/relationships/image" Target="cid:1772an$IN338013403703110@cgn133" TargetMode="External"/><Relationship Id="rId2" Type="http://schemas.openxmlformats.org/officeDocument/2006/relationships/image" Target="media/image1.jpeg"/><Relationship Id="rId1" Type="http://schemas.openxmlformats.org/officeDocument/2006/relationships/hyperlink" Target="http://www.cienotariado.org" TargetMode="External"/><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854BCDA3D1B64C94FC75E45111765C" ma:contentTypeVersion="16" ma:contentTypeDescription="Crear nuevo documento." ma:contentTypeScope="" ma:versionID="16841febc515584f28a5681d4ed8ec24">
  <xsd:schema xmlns:xsd="http://www.w3.org/2001/XMLSchema" xmlns:xs="http://www.w3.org/2001/XMLSchema" xmlns:p="http://schemas.microsoft.com/office/2006/metadata/properties" xmlns:ns2="b8f5b3ba-7bb6-410c-bf19-6668eef0153c" xmlns:ns3="67cf5310-beeb-43f7-80f9-1bd7e126d159" xmlns:ns4="4c10f256-5898-4c50-b3c6-f242110fa039" targetNamespace="http://schemas.microsoft.com/office/2006/metadata/properties" ma:root="true" ma:fieldsID="f82a653027176ad26a8cbeaff79048c2" ns2:_="" ns3:_="" ns4:_="">
    <xsd:import namespace="b8f5b3ba-7bb6-410c-bf19-6668eef0153c"/>
    <xsd:import namespace="67cf5310-beeb-43f7-80f9-1bd7e126d159"/>
    <xsd:import namespace="4c10f256-5898-4c50-b3c6-f242110fa0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3ba-7bb6-410c-bf19-6668eef01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0a6942c-0d97-43d9-bf4b-ed9209d4bc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f5310-beeb-43f7-80f9-1bd7e126d1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0f256-5898-4c50-b3c6-f242110fa0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556c1d-169f-4fe1-8176-ff903d515712}" ma:internalName="TaxCatchAll" ma:showField="CatchAllData" ma:web="67cf5310-beeb-43f7-80f9-1bd7e126d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f5b3ba-7bb6-410c-bf19-6668eef0153c">
      <Terms xmlns="http://schemas.microsoft.com/office/infopath/2007/PartnerControls"/>
    </lcf76f155ced4ddcb4097134ff3c332f>
    <TaxCatchAll xmlns="4c10f256-5898-4c50-b3c6-f242110fa039" xsi:nil="true"/>
    <SharedWithUsers xmlns="67cf5310-beeb-43f7-80f9-1bd7e126d159">
      <UserInfo>
        <DisplayName>Enrique Prados</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3FCB-AAE0-4B91-BBD8-7A824B581CD6}">
  <ds:schemaRefs>
    <ds:schemaRef ds:uri="http://schemas.microsoft.com/sharepoint/v3/contenttype/forms"/>
  </ds:schemaRefs>
</ds:datastoreItem>
</file>

<file path=customXml/itemProps2.xml><?xml version="1.0" encoding="utf-8"?>
<ds:datastoreItem xmlns:ds="http://schemas.openxmlformats.org/officeDocument/2006/customXml" ds:itemID="{B59D5BE1-5ABF-49E8-930C-1DA945BF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3ba-7bb6-410c-bf19-6668eef0153c"/>
    <ds:schemaRef ds:uri="67cf5310-beeb-43f7-80f9-1bd7e126d159"/>
    <ds:schemaRef ds:uri="4c10f256-5898-4c50-b3c6-f242110fa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AE32D-8A2D-45FE-A38B-850CCEB0269B}">
  <ds:schemaRefs>
    <ds:schemaRef ds:uri="http://schemas.microsoft.com/office/2006/metadata/properties"/>
    <ds:schemaRef ds:uri="http://schemas.microsoft.com/office/infopath/2007/PartnerControls"/>
    <ds:schemaRef ds:uri="b8f5b3ba-7bb6-410c-bf19-6668eef0153c"/>
    <ds:schemaRef ds:uri="4c10f256-5898-4c50-b3c6-f242110fa039"/>
    <ds:schemaRef ds:uri="67cf5310-beeb-43f7-80f9-1bd7e126d159"/>
  </ds:schemaRefs>
</ds:datastoreItem>
</file>

<file path=customXml/itemProps4.xml><?xml version="1.0" encoding="utf-8"?>
<ds:datastoreItem xmlns:ds="http://schemas.openxmlformats.org/officeDocument/2006/customXml" ds:itemID="{E40659C9-D7AA-420A-BDE2-C252562C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1048</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CharactersWithSpaces>
  <SharedDoc>false</SharedDoc>
  <HLinks>
    <vt:vector size="30" baseType="variant">
      <vt:variant>
        <vt:i4>4522108</vt:i4>
      </vt:variant>
      <vt:variant>
        <vt:i4>3</vt:i4>
      </vt:variant>
      <vt:variant>
        <vt:i4>0</vt:i4>
      </vt:variant>
      <vt:variant>
        <vt:i4>5</vt:i4>
      </vt:variant>
      <vt:variant>
        <vt:lpwstr>mailto:cien@metyis.com</vt:lpwstr>
      </vt:variant>
      <vt:variant>
        <vt:lpwstr/>
      </vt:variant>
      <vt:variant>
        <vt:i4>6094935</vt:i4>
      </vt:variant>
      <vt:variant>
        <vt:i4>0</vt:i4>
      </vt:variant>
      <vt:variant>
        <vt:i4>0</vt:i4>
      </vt:variant>
      <vt:variant>
        <vt:i4>5</vt:i4>
      </vt:variant>
      <vt:variant>
        <vt:lpwstr>http://www.cienotariado.org/</vt:lpwstr>
      </vt:variant>
      <vt:variant>
        <vt:lpwstr/>
      </vt:variant>
      <vt:variant>
        <vt:i4>6094935</vt:i4>
      </vt:variant>
      <vt:variant>
        <vt:i4>6</vt:i4>
      </vt:variant>
      <vt:variant>
        <vt:i4>0</vt:i4>
      </vt:variant>
      <vt:variant>
        <vt:i4>5</vt:i4>
      </vt:variant>
      <vt:variant>
        <vt:lpwstr>http://www.cienotariado.org/</vt:lpwstr>
      </vt:variant>
      <vt:variant>
        <vt:lpwstr/>
      </vt:variant>
      <vt:variant>
        <vt:i4>6094935</vt:i4>
      </vt:variant>
      <vt:variant>
        <vt:i4>3</vt:i4>
      </vt:variant>
      <vt:variant>
        <vt:i4>0</vt:i4>
      </vt:variant>
      <vt:variant>
        <vt:i4>5</vt:i4>
      </vt:variant>
      <vt:variant>
        <vt:lpwstr>http://www.cienotariado.org/</vt:lpwstr>
      </vt:variant>
      <vt:variant>
        <vt:lpwstr/>
      </vt:variant>
      <vt:variant>
        <vt:i4>6094935</vt:i4>
      </vt:variant>
      <vt:variant>
        <vt:i4>0</vt:i4>
      </vt:variant>
      <vt:variant>
        <vt:i4>0</vt:i4>
      </vt:variant>
      <vt:variant>
        <vt:i4>5</vt:i4>
      </vt:variant>
      <vt:variant>
        <vt:lpwstr>http://www.cienotariado.org/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Togores Guisasola</dc:creator>
  <cp:lastModifiedBy>Usuario</cp:lastModifiedBy>
  <cp:revision>3</cp:revision>
  <cp:lastPrinted>2023-08-02T08:29:00Z</cp:lastPrinted>
  <dcterms:created xsi:type="dcterms:W3CDTF">2023-08-02T23:04:00Z</dcterms:created>
  <dcterms:modified xsi:type="dcterms:W3CDTF">2023-08-02T23:37:00Z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0x010100CB854BCDA3D1B64C94FC75E45111765C</vt:lpwstr>
  </property>
  <property fmtid="{D5CDD505-2E9C-101B-9397-08002B2CF9AE}" pid="3" name="MediaServiceImageTags">
    <vt:lpwstr/>
  </property>
</Properties>
</file>